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7FD5" w14:textId="5AB5A3F5" w:rsidR="00510DFD" w:rsidRDefault="00510DFD" w:rsidP="00F027F1">
      <w:pPr>
        <w:spacing w:before="240" w:line="240" w:lineRule="auto"/>
        <w:jc w:val="both"/>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ZOTERO_TRANSFER_DOCUMENT</w:t>
      </w:r>
    </w:p>
    <w:p w14:paraId="58589E16" w14:textId="77777777" w:rsidR="00510DFD" w:rsidRDefault="00510DFD" w:rsidP="00F027F1">
      <w:pPr>
        <w:spacing w:before="240" w:line="240" w:lineRule="auto"/>
        <w:jc w:val="both"/>
        <w:rPr>
          <w:rFonts w:ascii="Calibri" w:eastAsia="Times New Roman" w:hAnsi="Calibri" w:cs="Calibri"/>
          <w:color w:val="000000"/>
          <w:sz w:val="28"/>
          <w:szCs w:val="28"/>
          <w:lang w:eastAsia="en-GB"/>
        </w:rPr>
      </w:pPr>
    </w:p>
    <w:p w14:paraId="7A7F862C" w14:textId="66065053" w:rsidR="00510DFD" w:rsidRDefault="00510DFD" w:rsidP="00F027F1">
      <w:pPr>
        <w:spacing w:before="240" w:line="240" w:lineRule="auto"/>
        <w:jc w:val="both"/>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The Zotero citations in this document have been converted to a format that can be safely transferred between word processors. Open this document in a supported word processor and press Refresh in the Zotero plugin to continue working with the citations.</w:t>
      </w:r>
    </w:p>
    <w:p w14:paraId="270A1A2F" w14:textId="77777777" w:rsidR="00510DFD" w:rsidRDefault="00510DFD" w:rsidP="00F027F1">
      <w:pPr>
        <w:spacing w:before="240" w:line="240" w:lineRule="auto"/>
        <w:jc w:val="both"/>
        <w:rPr>
          <w:rFonts w:ascii="Calibri" w:eastAsia="Times New Roman" w:hAnsi="Calibri" w:cs="Calibri"/>
          <w:color w:val="000000"/>
          <w:sz w:val="28"/>
          <w:szCs w:val="28"/>
          <w:lang w:eastAsia="en-GB"/>
        </w:rPr>
      </w:pPr>
    </w:p>
    <w:p w14:paraId="67F3266B" w14:textId="2FA8D1A5" w:rsidR="00B75392" w:rsidRPr="00C17C16" w:rsidRDefault="00B75392" w:rsidP="00F027F1">
      <w:pPr>
        <w:spacing w:before="240" w:line="240" w:lineRule="auto"/>
        <w:jc w:val="both"/>
        <w:rPr>
          <w:rFonts w:ascii="Times New Roman" w:eastAsia="Times New Roman" w:hAnsi="Times New Roman" w:cs="Times New Roman"/>
          <w:sz w:val="32"/>
          <w:szCs w:val="32"/>
          <w:lang w:eastAsia="en-GB"/>
        </w:rPr>
      </w:pPr>
      <w:r w:rsidRPr="00C17C16">
        <w:rPr>
          <w:rFonts w:ascii="Calibri" w:eastAsia="Times New Roman" w:hAnsi="Calibri" w:cs="Calibri"/>
          <w:color w:val="000000"/>
          <w:sz w:val="28"/>
          <w:szCs w:val="28"/>
          <w:lang w:eastAsia="en-GB"/>
        </w:rPr>
        <w:t>Comparing simple and weighted ensemble forecasts of cases and deaths from COVID-19 in European countries over March to August 2021</w:t>
      </w:r>
    </w:p>
    <w:p w14:paraId="3A7678CA" w14:textId="77777777" w:rsidR="00B75392" w:rsidRPr="00B75392" w:rsidRDefault="00B75392" w:rsidP="00F027F1">
      <w:pPr>
        <w:spacing w:before="240" w:after="20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b/>
          <w:bCs/>
          <w:color w:val="000000"/>
          <w:lang w:eastAsia="en-GB"/>
        </w:rPr>
        <w:t>Background</w:t>
      </w:r>
    </w:p>
    <w:p w14:paraId="29ABDA78" w14:textId="77713891" w:rsidR="007A51D2" w:rsidRDefault="000A1945" w:rsidP="00F027F1">
      <w:pPr>
        <w:spacing w:before="240" w:after="20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Short term forecasts of COVID-19 epidemiology have been </w:t>
      </w:r>
      <w:r w:rsidR="00B75392" w:rsidRPr="00B75392">
        <w:rPr>
          <w:rFonts w:ascii="Calibri" w:eastAsia="Times New Roman" w:hAnsi="Calibri" w:cs="Calibri"/>
          <w:color w:val="000000"/>
          <w:lang w:eastAsia="en-GB"/>
        </w:rPr>
        <w:t>a</w:t>
      </w:r>
      <w:r>
        <w:rPr>
          <w:rFonts w:ascii="Calibri" w:eastAsia="Times New Roman" w:hAnsi="Calibri" w:cs="Calibri"/>
          <w:color w:val="000000"/>
          <w:lang w:eastAsia="en-GB"/>
        </w:rPr>
        <w:t xml:space="preserve"> useful</w:t>
      </w:r>
      <w:r w:rsidR="00B75392" w:rsidRPr="00B75392">
        <w:rPr>
          <w:rFonts w:ascii="Calibri" w:eastAsia="Times New Roman" w:hAnsi="Calibri" w:cs="Calibri"/>
          <w:color w:val="000000"/>
          <w:lang w:eastAsia="en-GB"/>
        </w:rPr>
        <w:t xml:space="preserve"> public health tool</w:t>
      </w:r>
      <w:r>
        <w:rPr>
          <w:rFonts w:ascii="Calibri" w:eastAsia="Times New Roman" w:hAnsi="Calibri" w:cs="Calibri"/>
          <w:color w:val="000000"/>
          <w:lang w:eastAsia="en-GB"/>
        </w:rPr>
        <w:t xml:space="preserve"> for understanding, communicating, and policy making in a rapidly changing epidemic. </w:t>
      </w:r>
      <w:r w:rsidR="007A51D2">
        <w:rPr>
          <w:rFonts w:ascii="Calibri" w:eastAsia="Times New Roman" w:hAnsi="Calibri" w:cs="Calibri"/>
          <w:color w:val="000000"/>
          <w:lang w:eastAsia="en-GB"/>
        </w:rPr>
        <w:t>These various</w:t>
      </w:r>
      <w:r>
        <w:rPr>
          <w:rFonts w:ascii="Calibri" w:eastAsia="Times New Roman" w:hAnsi="Calibri" w:cs="Calibri"/>
          <w:color w:val="000000"/>
          <w:lang w:eastAsia="en-GB"/>
        </w:rPr>
        <w:t xml:space="preserve"> purposes mean that forecast </w:t>
      </w:r>
      <w:r w:rsidR="00B75392" w:rsidRPr="00B75392">
        <w:rPr>
          <w:rFonts w:ascii="Calibri" w:eastAsia="Times New Roman" w:hAnsi="Calibri" w:cs="Calibri"/>
          <w:color w:val="000000"/>
          <w:lang w:eastAsia="en-GB"/>
        </w:rPr>
        <w:t>accuracy</w:t>
      </w:r>
      <w:r>
        <w:rPr>
          <w:rFonts w:ascii="Calibri" w:eastAsia="Times New Roman" w:hAnsi="Calibri" w:cs="Calibri"/>
          <w:color w:val="000000"/>
          <w:lang w:eastAsia="en-GB"/>
        </w:rPr>
        <w:t xml:space="preserve"> is important</w:t>
      </w:r>
      <w:r w:rsidR="00B75392" w:rsidRPr="00B75392">
        <w:rPr>
          <w:rFonts w:ascii="Calibri" w:eastAsia="Times New Roman" w:hAnsi="Calibri" w:cs="Calibri"/>
          <w:color w:val="000000"/>
          <w:lang w:eastAsia="en-GB"/>
        </w:rPr>
        <w:t xml:space="preserve">, but also reliability </w:t>
      </w:r>
      <w:r>
        <w:rPr>
          <w:rFonts w:ascii="Calibri" w:eastAsia="Times New Roman" w:hAnsi="Calibri" w:cs="Calibri"/>
          <w:color w:val="000000"/>
          <w:lang w:eastAsia="en-GB"/>
        </w:rPr>
        <w:t>across</w:t>
      </w:r>
      <w:r w:rsidR="007A51D2">
        <w:rPr>
          <w:rFonts w:ascii="Calibri" w:eastAsia="Times New Roman" w:hAnsi="Calibri" w:cs="Calibri"/>
          <w:color w:val="000000"/>
          <w:lang w:eastAsia="en-GB"/>
        </w:rPr>
        <w:t xml:space="preserve"> multiple</w:t>
      </w:r>
      <w:r>
        <w:rPr>
          <w:rFonts w:ascii="Calibri" w:eastAsia="Times New Roman" w:hAnsi="Calibri" w:cs="Calibri"/>
          <w:color w:val="000000"/>
          <w:lang w:eastAsia="en-GB"/>
        </w:rPr>
        <w:t xml:space="preserve"> forecast targets </w:t>
      </w:r>
      <w:r w:rsidR="00B75392" w:rsidRPr="00B75392">
        <w:rPr>
          <w:rFonts w:ascii="Calibri" w:eastAsia="Times New Roman" w:hAnsi="Calibri" w:cs="Calibri"/>
          <w:color w:val="000000"/>
          <w:lang w:eastAsia="en-GB"/>
        </w:rPr>
        <w:t xml:space="preserve">and </w:t>
      </w:r>
      <w:r>
        <w:rPr>
          <w:rFonts w:ascii="Calibri" w:eastAsia="Times New Roman" w:hAnsi="Calibri" w:cs="Calibri"/>
          <w:color w:val="000000"/>
          <w:lang w:eastAsia="en-GB"/>
        </w:rPr>
        <w:t>clear and appropriate</w:t>
      </w:r>
      <w:r w:rsidR="00B75392" w:rsidRPr="00B75392">
        <w:rPr>
          <w:rFonts w:ascii="Calibri" w:eastAsia="Times New Roman" w:hAnsi="Calibri" w:cs="Calibri"/>
          <w:color w:val="000000"/>
          <w:lang w:eastAsia="en-GB"/>
        </w:rPr>
        <w:t xml:space="preserve"> quantification of uncertainty.</w:t>
      </w:r>
      <w:r w:rsidR="007A51D2">
        <w:rPr>
          <w:rFonts w:ascii="Calibri" w:eastAsia="Times New Roman" w:hAnsi="Calibri" w:cs="Calibri"/>
          <w:color w:val="000000"/>
          <w:lang w:eastAsia="en-GB"/>
        </w:rPr>
        <w:t xml:space="preserve"> Meanwhile, many forecasting methods exist with varying performance under different circumstances </w:t>
      </w:r>
      <w:hyperlink r:id="rId5" w:history="1">
        <w:r w:rsidR="00510DFD" w:rsidRPr="00510DFD">
          <w:rPr>
            <w:rStyle w:val="Hyperlink"/>
            <w:rFonts w:ascii="Calibri" w:hAnsi="Calibri" w:cs="Calibri"/>
          </w:rPr>
          <w:t>ITEM CSL_CITATION {"citationID":"hApboBZJ","properties":{"formattedCitation":"[1]","plainCitation":"[1]","noteIndex":0},"citationItems":[{"id":1459,"uris":["http://zotero.org/users/5456110/items/KTE2AR2B"],"uri":["http://zotero.org/users/5456110/items/KTE2AR2B"],"itemData":{"id":1459,"type":"article-journal","abstract":"Influenza infects an estimated 9–35 million individuals each year in the United States and is a contributing cause for between 12,000 and 56,000 deaths annually. Seasonal outbreaks of influenza are common in temperate regions of the world, with highest incidence typically occurring in colder and drier months of the year. Real-time forecasts of influenza transmission can inform public health response to outbreaks. We present the results of a multiinstitution collaborative effort to standardize the collection and evaluation of forecasting models for influenza in the United States for the 2010/2011 through 2016/2017 influenza seasons. For these seven seasons, we assembled weekly real-time forecasts of seven targets of public health interest from 22 different models. We compared forecast accuracy of each model relative to a historical baseline seasonal average. Across all regions of the United States, over half of the models showed consistently better performance than the historical baseline when forecasting incidence of influenza-like illness 1 wk, 2 wk, and 3 wk ahead of available data and when forecasting the timing and magnitude of the seasonal peak. In some regions, delays in data reporting were strongly and negatively associated with forecast accuracy. More timely reporting and an improved overall accessibility to novel and traditional data sources are needed to improve forecasting accuracy and its integration with real-time public health decision making.","container-title":"Proceedings of the National Academy of Sciences","DOI":"10.1073/pnas.1812594116","ISSN":"0027-8424, 1091-6490","issue":"8","journalAbbreviation":"PNAS","language":"en","note":"publisher: National Academy of Sciences\nsection: PNAS Plus\nPMID: 30647115","page":"3146-3154","source":"www.pnas.org","title":"A collaborative multiyear, multimodel assessment of seasonal influenza forecasting in the United States","volume":"116","author":[{"family":"Reich","given":"Nicholas G."},{"family":"Brooks","given":"Logan C."},{"family":"Fox","given":"Spencer J."},{"family":"Kandula","given":"Sasikiran"},{"family":"McGowan","given":"Craig J."},{"family":"Moore","given":"Evan"},{"family":"Osthus","given":"Dave"},{"family":"Ray","given":"E</w:t>
        </w:r>
        <w:r w:rsidR="00510DFD" w:rsidRPr="00510DFD">
          <w:rPr>
            <w:rStyle w:val="Hyperlink"/>
            <w:rFonts w:ascii="Calibri" w:hAnsi="Calibri" w:cs="Calibri"/>
          </w:rPr>
          <w:lastRenderedPageBreak/>
          <w:t>van L."},{"family":"Tushar","given":"Abhinav"},{"family":"Yamana","given":"Teresa K."},{"family":"Biggerstaff","given":"Matthew"},{"family":"Johansson","given":"Michael A."},{"family":"Rosenfeld","given":"Roni"},{"family":"Shaman","given":"Jeffrey"}],"issued":{"date-parts":[["2019",2,19]]}}}],"schema":"https://github.com/citation-style-language/schema/raw/master/csl-citation.json"}</w:t>
        </w:r>
      </w:hyperlink>
      <w:r w:rsidR="007A51D2">
        <w:rPr>
          <w:rFonts w:ascii="Calibri" w:eastAsia="Times New Roman" w:hAnsi="Calibri" w:cs="Calibri"/>
          <w:color w:val="000000"/>
          <w:lang w:eastAsia="en-GB"/>
        </w:rPr>
        <w:t xml:space="preserve">. </w:t>
      </w:r>
    </w:p>
    <w:p w14:paraId="01CE332C" w14:textId="3C5E4A79" w:rsidR="007A51D2" w:rsidRDefault="00B75392" w:rsidP="00F027F1">
      <w:pPr>
        <w:spacing w:before="240" w:after="200" w:line="240" w:lineRule="auto"/>
        <w:jc w:val="both"/>
        <w:rPr>
          <w:rFonts w:ascii="Calibri" w:eastAsia="Times New Roman" w:hAnsi="Calibri" w:cs="Calibri"/>
          <w:color w:val="000000"/>
          <w:lang w:eastAsia="en-GB"/>
        </w:rPr>
      </w:pPr>
      <w:r w:rsidRPr="00B75392">
        <w:rPr>
          <w:rFonts w:ascii="Calibri" w:eastAsia="Times New Roman" w:hAnsi="Calibri" w:cs="Calibri"/>
          <w:color w:val="000000"/>
          <w:lang w:eastAsia="en-GB"/>
        </w:rPr>
        <w:t xml:space="preserve">The European </w:t>
      </w:r>
      <w:r w:rsidR="005B2F18">
        <w:rPr>
          <w:rFonts w:ascii="Calibri" w:eastAsia="Times New Roman" w:hAnsi="Calibri" w:cs="Calibri"/>
          <w:color w:val="000000"/>
          <w:lang w:eastAsia="en-GB"/>
        </w:rPr>
        <w:t xml:space="preserve">COVID-19 </w:t>
      </w:r>
      <w:r w:rsidRPr="00B75392">
        <w:rPr>
          <w:rFonts w:ascii="Calibri" w:eastAsia="Times New Roman" w:hAnsi="Calibri" w:cs="Calibri"/>
          <w:color w:val="000000"/>
          <w:lang w:eastAsia="en-GB"/>
        </w:rPr>
        <w:t>forecast hub collates</w:t>
      </w:r>
      <w:r w:rsidR="009B45A3">
        <w:rPr>
          <w:rFonts w:ascii="Calibri" w:eastAsia="Times New Roman" w:hAnsi="Calibri" w:cs="Calibri"/>
          <w:color w:val="000000"/>
          <w:lang w:eastAsia="en-GB"/>
        </w:rPr>
        <w:t xml:space="preserve"> and standardises</w:t>
      </w:r>
      <w:r w:rsidRPr="00B75392">
        <w:rPr>
          <w:rFonts w:ascii="Calibri" w:eastAsia="Times New Roman" w:hAnsi="Calibri" w:cs="Calibri"/>
          <w:color w:val="000000"/>
          <w:lang w:eastAsia="en-GB"/>
        </w:rPr>
        <w:t xml:space="preserve"> forecasts </w:t>
      </w:r>
      <w:r w:rsidR="007A51D2">
        <w:rPr>
          <w:rFonts w:ascii="Calibri" w:eastAsia="Times New Roman" w:hAnsi="Calibri" w:cs="Calibri"/>
          <w:color w:val="000000"/>
          <w:lang w:eastAsia="en-GB"/>
        </w:rPr>
        <w:t>from 34 independent modelling teams</w:t>
      </w:r>
      <w:r w:rsidR="007A51D2" w:rsidRPr="007A51D2">
        <w:rPr>
          <w:rFonts w:ascii="Calibri" w:eastAsia="Times New Roman" w:hAnsi="Calibri" w:cs="Calibri"/>
          <w:color w:val="000000"/>
          <w:lang w:eastAsia="en-GB"/>
        </w:rPr>
        <w:t xml:space="preserve"> </w:t>
      </w:r>
      <w:r w:rsidR="007A51D2">
        <w:rPr>
          <w:rFonts w:ascii="Calibri" w:eastAsia="Times New Roman" w:hAnsi="Calibri" w:cs="Calibri"/>
          <w:color w:val="000000"/>
          <w:lang w:eastAsia="en-GB"/>
        </w:rPr>
        <w:t>for incident cases and deaths in countries across Europe.</w:t>
      </w:r>
      <w:r w:rsidR="009B45A3">
        <w:rPr>
          <w:rFonts w:ascii="Calibri" w:eastAsia="Times New Roman" w:hAnsi="Calibri" w:cs="Calibri"/>
          <w:color w:val="000000"/>
          <w:lang w:eastAsia="en-GB"/>
        </w:rPr>
        <w:t xml:space="preserve"> </w:t>
      </w:r>
      <w:r w:rsidR="007A51D2">
        <w:rPr>
          <w:rFonts w:ascii="Calibri" w:eastAsia="Times New Roman" w:hAnsi="Calibri" w:cs="Calibri"/>
          <w:color w:val="000000"/>
          <w:lang w:eastAsia="en-GB"/>
        </w:rPr>
        <w:t xml:space="preserve">The hub has </w:t>
      </w:r>
      <w:r w:rsidRPr="00B75392">
        <w:rPr>
          <w:rFonts w:ascii="Calibri" w:eastAsia="Times New Roman" w:hAnsi="Calibri" w:cs="Calibri"/>
          <w:color w:val="000000"/>
          <w:lang w:eastAsia="en-GB"/>
        </w:rPr>
        <w:t>the aim of providing an accessible forecasting tool</w:t>
      </w:r>
      <w:r w:rsidR="005B2F18">
        <w:rPr>
          <w:rFonts w:ascii="Calibri" w:eastAsia="Times New Roman" w:hAnsi="Calibri" w:cs="Calibri"/>
          <w:color w:val="000000"/>
          <w:lang w:eastAsia="en-GB"/>
        </w:rPr>
        <w:t xml:space="preserve"> </w:t>
      </w:r>
      <w:r w:rsidR="007A51D2">
        <w:rPr>
          <w:rFonts w:ascii="Calibri" w:eastAsia="Times New Roman" w:hAnsi="Calibri" w:cs="Calibri"/>
          <w:color w:val="000000"/>
          <w:lang w:eastAsia="en-GB"/>
        </w:rPr>
        <w:t xml:space="preserve">summarising forecasting efforts across the continent </w:t>
      </w:r>
      <w:r w:rsidR="00F625B8">
        <w:rPr>
          <w:rFonts w:ascii="Calibri" w:eastAsia="Times New Roman" w:hAnsi="Calibri" w:cs="Calibri"/>
          <w:color w:val="000000"/>
          <w:lang w:eastAsia="en-GB"/>
        </w:rPr>
        <w:t>[</w:t>
      </w:r>
      <w:r w:rsidR="005B2F18">
        <w:rPr>
          <w:rFonts w:ascii="Calibri" w:eastAsia="Times New Roman" w:hAnsi="Calibri" w:cs="Calibri"/>
          <w:color w:val="000000"/>
          <w:lang w:eastAsia="en-GB"/>
        </w:rPr>
        <w:t>#forecast-paper, #</w:t>
      </w:r>
      <w:r w:rsidR="00F625B8">
        <w:rPr>
          <w:rFonts w:ascii="Calibri" w:eastAsia="Times New Roman" w:hAnsi="Calibri" w:cs="Calibri"/>
          <w:color w:val="000000"/>
          <w:lang w:eastAsia="en-GB"/>
        </w:rPr>
        <w:t>hub-</w:t>
      </w:r>
      <w:r w:rsidR="005B2F18">
        <w:rPr>
          <w:rFonts w:ascii="Calibri" w:eastAsia="Times New Roman" w:hAnsi="Calibri" w:cs="Calibri"/>
          <w:color w:val="000000"/>
          <w:lang w:eastAsia="en-GB"/>
        </w:rPr>
        <w:t>repo</w:t>
      </w:r>
      <w:r w:rsidR="00F625B8">
        <w:rPr>
          <w:rFonts w:ascii="Calibri" w:eastAsia="Times New Roman" w:hAnsi="Calibri" w:cs="Calibri"/>
          <w:color w:val="000000"/>
          <w:lang w:eastAsia="en-GB"/>
        </w:rPr>
        <w:t>]</w:t>
      </w:r>
      <w:r w:rsidR="005B2F18">
        <w:rPr>
          <w:rFonts w:ascii="Calibri" w:eastAsia="Times New Roman" w:hAnsi="Calibri" w:cs="Calibri"/>
          <w:color w:val="000000"/>
          <w:lang w:eastAsia="en-GB"/>
        </w:rPr>
        <w:t xml:space="preserve">, following </w:t>
      </w:r>
      <w:r w:rsidRPr="00B75392">
        <w:rPr>
          <w:rFonts w:ascii="Calibri" w:eastAsia="Times New Roman" w:hAnsi="Calibri" w:cs="Calibri"/>
          <w:color w:val="000000"/>
          <w:lang w:eastAsia="en-GB"/>
        </w:rPr>
        <w:t xml:space="preserve">similar </w:t>
      </w:r>
      <w:r w:rsidR="007A51D2">
        <w:rPr>
          <w:rFonts w:ascii="Calibri" w:eastAsia="Times New Roman" w:hAnsi="Calibri" w:cs="Calibri"/>
          <w:color w:val="000000"/>
          <w:lang w:eastAsia="en-GB"/>
        </w:rPr>
        <w:t>infrastructure</w:t>
      </w:r>
      <w:r w:rsidRPr="00B75392">
        <w:rPr>
          <w:rFonts w:ascii="Calibri" w:eastAsia="Times New Roman" w:hAnsi="Calibri" w:cs="Calibri"/>
          <w:color w:val="000000"/>
          <w:lang w:eastAsia="en-GB"/>
        </w:rPr>
        <w:t xml:space="preserve"> </w:t>
      </w:r>
      <w:r w:rsidR="007A51D2">
        <w:rPr>
          <w:rFonts w:ascii="Calibri" w:eastAsia="Times New Roman" w:hAnsi="Calibri" w:cs="Calibri"/>
          <w:color w:val="000000"/>
          <w:lang w:eastAsia="en-GB"/>
        </w:rPr>
        <w:t xml:space="preserve">developed </w:t>
      </w:r>
      <w:r w:rsidRPr="00B75392">
        <w:rPr>
          <w:rFonts w:ascii="Calibri" w:eastAsia="Times New Roman" w:hAnsi="Calibri" w:cs="Calibri"/>
          <w:color w:val="000000"/>
          <w:lang w:eastAsia="en-GB"/>
        </w:rPr>
        <w:t>in the US</w:t>
      </w:r>
      <w:r w:rsidR="00F625B8">
        <w:rPr>
          <w:rFonts w:ascii="Calibri" w:eastAsia="Times New Roman" w:hAnsi="Calibri" w:cs="Calibri"/>
          <w:color w:val="000000"/>
          <w:lang w:eastAsia="en-GB"/>
        </w:rPr>
        <w:t xml:space="preserve"> </w:t>
      </w:r>
      <w:hyperlink r:id="rId6" w:history="1">
        <w:r w:rsidR="00510DFD" w:rsidRPr="00510DFD">
          <w:rPr>
            <w:rStyle w:val="Hyperlink"/>
            <w:rFonts w:ascii="Calibri" w:hAnsi="Calibri" w:cs="Calibri"/>
          </w:rPr>
          <w:t xml:space="preserve">ITEM CSL_CITATION {"citationID":"ZiDi6GFD","properties":{"formattedCitation":"[1,2]","plainCitation":"[1,2]","noteIndex":0},"citationItems":[{"id":1459,"uris":["http://zotero.org/users/5456110/items/KTE2AR2B"],"uri":["http://zotero.org/users/5456110/items/KTE2AR2B"],"itemData":{"id":1459,"type":"article-journal","abstract":"Influenza infects an estimated 9–35 million individuals each year in the United States and is a contributing cause for between 12,000 and 56,000 deaths annually. Seasonal outbreaks of influenza are common in temperate regions of the world, with highest incidence typically occurring in colder and drier months of the year. Real-time forecasts of influenza transmission can inform public health response to outbreaks. We present the results of a multiinstitution collaborative effort to standardize the collection and evaluation of forecasting models for influenza in the United States for the 2010/2011 through 2016/2017 influenza seasons. For these seven seasons, we assembled weekly real-time forecasts of seven targets of public health interest from 22 different models. We compared forecast accuracy of each model relative to a historical baseline seasonal average. Across all regions of the United States, over half of the models showed consistently better performance than the historical baseline when forecasting incidence of influenza-like illness 1 wk, 2 wk, and 3 wk ahead of available data and when forecasting the timing and magnitude of the seasonal peak. In some regions, delays in data reporting were strongly and negatively associated with forecast accuracy. More timely reporting and an improved overall accessibility to novel and traditional data sources are needed to improve forecasting accuracy and its integration with real-time public health decision making.","container-title":"Proceedings of the National Academy of Sciences","DOI":"10.1073/pnas.1812594116","ISSN":"0027-8424, 1091-6490","issue":"8","journalAbbreviation":"PNAS","language":"en","note":"publisher: National Academy of Sciences\nsection: PNAS Plus\nPMID: 30647115","page":"3146-3154","source":"www.pnas.org","title":"A collaborative multiyear, multimodel assessment of seasonal influenza forecasting in the United States","volume":"116","author":[{"family":"Reich","given":"Nicholas G."},{"family":"Brooks","given":"Logan C."},{"family":"Fox","given":"Spencer J."},{"family":"Kandula","given":"Sasikiran"},{"family":"McGowan","given":"Craig J."},{"family":"Moore","given":"Evan"},{"family":"Osthus","given":"Dave"},{"family":"Ray","given":"Evan L."},{"family":"Tushar","given":"Abhinav"},{"family":"Yamana","given":"Teresa K."},{"family":"Biggerstaff","given":"Matthew"},{"family":"Johansson","given":"Michael A."},{"family":"Rosenfeld","given":"Roni"},{"family":"Shaman","given":"Jeffrey"}],"issued":{"date-parts":[["2019",2,19]]}}},{"id":1470,"uris":["http://zotero.org/users/5456110/items/Z3IF74X8"],"uri":["http://zotero.org/users/5456110/items/Z3IF74X8"],"itemData":{"id":1470,"type":"article-journal","abstract":"&lt;p&gt;Short-term probabilistic forecasts of the trajectory of the COVID-19 pandemic in the United States have served as a visible and important communication channel between the scientific modeling community and both the general public and decision-makers. Forecasting models provide specific, quantitative, and evaluable predictions that inform short-term decisions such as healthcare staffing needs, school closures, and allocation of medical supplies. Starting in April 2020, the COVID-19 Forecast Hub (https://covid19forecasthub.org/) collected, disseminated, and synthesized tens of millions of specific predictions from more than 80 different academic, industry, and independent research groups. A multi-model ensemble forecast that combined predictions from </w:t>
        </w:r>
        <w:r w:rsidR="00510DFD" w:rsidRPr="00510DFD">
          <w:rPr>
            <w:rStyle w:val="Hyperlink"/>
            <w:rFonts w:ascii="Calibri" w:hAnsi="Calibri" w:cs="Calibri"/>
          </w:rPr>
          <w:lastRenderedPageBreak/>
          <w:t>dozens of different research groups every week provided the most consistently accurate probabilistic forecasts of incident mortality due to COVID-19 at the state and national level from April 2020 through April 2021. The performance of 27 individual models that submitted complete forecasts consistently throughout this year showed high variability in forecast skill across time, geospatial units, and forecast horizons. Slightly more than half of the models evaluated showed better accuracy than a naive baseline model. Forecast accuracy degraded as models made predictions further into the future, with probabilistic error at a 20-week horizon 3-5 times larger than when predicting at a 1-week horizon. This project underscores the role that collaboration and active coordination between governmental public health agencies, academic modeling teams, and industry partners can play in developing modern modeling capabilities to support local, state, and federal response to outbreaks.&lt;/p&gt;","container-title":"medRxiv","DOI":"10.1101/2021.02.03.21250974","language":"en","note":"publisher: Cold Spring Harbor Laboratory Press","page":"2021.02.03.21250974","source":"www.medrxiv.org","title":"Evaluation of individual and ensemble probabilistic forecasts of COVID-19 mortality in the US","author":[{"family":"Cramer","given":"Estee Y."},{"family":"Ray","given":"Evan L."},{"family":"Lopez","given":"Velma K."},{"family":"Bracher","given":"Johannes"},{"family":"Brennen","given":"Andrea"},{"family":"Rivadeneira","given":"Alvaro J. Castro"},{"family":"Gerding","given":"Aaron"},{"family":"Gneiting","given":"Tilmann"},{"family":"House","given":"Katie H."},{"family":"Huang","given":"Yuxin"},{"family":"Jayawardena","given":"Dasuni"},{"family":"Kanji","given":"Abdul H."},{"family":"Khandelwal","given":"Ayush"},{"family":"Le","given":"Khoa"},{"family":"Mühlemann","given":"Anja"},{"family":"Niemi","given":"Jarad"},{"family":"Shah","given":"Apurv"},{"family":"Stark","given":"Ariane"},{"family":"Wang","given":"Yijin"},{"family":"Wattanachit","given":"Nutcha"},{"family":"Zorn","given":"Martha W."},{"family":"Gu","given":"Youyang"},{"family":"Jain","given":"Sansiddh"},{"family":"Bannur","given":"Nayana"},{"family":"Deva","given":"Ayush"},{"family":"Kulkarni","given":"Mihir"},{"family":"Merugu","given":"Srujana"},{"family":"Raval","given":"Alpan"},{"family":"Shingi","given":"Siddhant"},{"family":"Tiwari","given":"Avtansh"},{"family":"White","given":"Jerome"},{"family":"Woody","given":"Spencer"},{"family":"Dahan","given":"Maytal"},{"family":"Fox","given":"Spencer"},{"family":"Gaither","given":"Kelly"},{"family":"Lachmann","given":"Michael"},{"family":"Meyers","given":"Lauren Ancel"},{"family":"Scott","given":"James G."},{"family":"Tec","given":"Mauricio"},{"family":"Srivastava","given":"Ajitesh"},{"family":"George","given":"Glover E."},{"family":"Cegan","given":"Jeffrey C."},{"family":"Dettwiller","given":"Ian D."},{"family":"England","given":"William P."},{"family":"Farthing","given":"Matthew W."},{"family":"Hunter","given":"Robert H."},{"family":"Lafferty","given":"Brandon"},{"family":"Linkov","given":"Igor"},{"family":"Mayo","given":"Michael L."},{"family":"Parno","given":"Matthew D."},{"family":"Rowland","given":"Michael A."},{"family":"Trump","given":"Benjamin D."},{"family":"Zhang-James","given":"Yanli"},{"family":"Chen","given":"Samuel"},{"family":"Faraone","given":"Stephen V."},{"family":"Hess","given":"Jonathan"},{"family":"Morley","given":"Christopher P."},{"family":"Salekin","given":"Asif"},{"family":"Wang","given":"Dongliang"},{"family":"Corsetti","given":"Sabrina M."},{"family":"Baer","given":"Thomas M."},{"family":"Eisenberg","given":"Marisa C."},{"family":"Falb","given":"Karl"},{"family":"Huang","given":"Yitao"},{"family":"Martin","given":"Emily T."},{"family":"McCauley","given":"Ella"},{"family":"Myers","given":"Robert L."},{"family":"Schwarz","given":"Tom"},{"family":"Sheldon","given":"Daniel"},{"family":"Gibson","given":"Graham Casey"},{"family":"Yu","given":"Rose"},{"family":"Gao","given":"Liyao"},{"family":"Ma","given":"Yian"},{"family":"Wu","given":"Dongxia"},{"family":"Yan","given":"Xifeng"},{"family":"Jin","given":"Xiaoy</w:t>
        </w:r>
        <w:r w:rsidR="00510DFD" w:rsidRPr="00510DFD">
          <w:rPr>
            <w:rStyle w:val="Hyperlink"/>
            <w:rFonts w:ascii="Calibri" w:hAnsi="Calibri" w:cs="Calibri"/>
          </w:rPr>
          <w:lastRenderedPageBreak/>
          <w:t>ong"},{"family":"Wang","given":"Yu-Xiang"},{"family":"Chen","given":"YangQuan"},{"family":"Guo","given":"Lihong"},{"family":"Zhao","given":"Yanting"},{"family":"Gu","given":"Quanquan"},{"family":"Chen","given":"Jinghui"},{"family":"Wang","given":"Lingxiao"},{"family":"Xu","given":"Pan"},{"family":"Zhang","given":"Weitong"},{"family":"Zou","given":"Difan"},{"family":"Biegel","given":"Hannah"},{"family":"Lega","given":"Joceline"},{"family":"McConnell","given":"Steve"},{"family":"Nagraj","given":"V. P."},{"family":"Guertin","given":"Stephanie L."},{"family":"Hulme-Lowe","given":"Christopher"},{"family":"Turner","given":"Stephen D."},{"family":"Shi","given":"Yunfeng"},{"family":"Ban","given":"Xuegang"},{"family":"Walraven","given":"Robert"},{"family":"Hong","given":"Qi-Jun"},{"family":"Walle","given":"Axel","dropping-particle":"van de"},{"family":"Kong","given":"Stanley"},{"family":"Turtle","given":"James A."},{"family":"Ben-Nun","given":"Michal"},{"family":"Riley","given":"Pete"},{"family":"Riley","given":"Steven"},{"family":"Koyluoglu","given":"Ugur"},{"family":"DesRoches","given":"David"},{"family":"Forli","given":"Pedro"},{"family":"Hamory","given":"Bruce"},{"family":"Kyriakides","given":"Christina"},{"family":"Leis","given":"Helen"},{"family":"Milliken","given":"John"},{"family":"Moloney","given":"Michael"},{"family":"Morgan","given":"James"},{"family":"Nirgudkar","given":"Ninad"},{"family":"Ozcan","given":"Gokce"},{"family":"Piwonka","given":"Noah"},{"family":"Ravi","given":"Matt"},{"family":"Schrader","given":"Chris"},{"family":"Shakhnovich","given":"Elizabeth"},{"family":"Siegel","given":"Daniel"},{"family":"Spatz","given":"Ryan"},{"family":"Stiefeling","given":"Chris"},{"family":"Wilkinson","given":"Barrie"},{"family":"Wong","given":"Alexander"},{"family":"Cavany","given":"Sean"},{"family":"España","given":"Guido"},{"family":"Moore","given":"Sean"},{"family":"Oidtman","given":"Rachel"},{"family":"Perkins","given":"Alex"},{"family":"Gao","given":"Zhifeng"},{"family":"Bian","given":"Jiang"},{"family":"Cao","given":"Wei"},{"family":"Ferres","given":"Juan Lavista"},{"family":"Li","given":"Chaozhuo"},{"family":"Liu","given":"Tie-Yan"},{"family":"Xie","given":"Xing"},{"family":"Zhang","given":"Shun"},{"family":"Zheng","given":"Shun"},{"family":"Vespignani","given":"Alessandro"},{"family":"Chinazzi","given":"Matteo"},{"family":"Davis","given":"Jessica T."},{"family":"Mu","given":"Kunpeng"},{"family":"Piontti","given":"Ana Pastore","dropping-particle":"y"},{"family":"Xiong","given":"Xinyue"},{"family":"Zheng","given":"Andrew"},{"family":"Baek","given":"Jackie"},{"family":"Farias","given":"Vivek"},{"family":"Georgescu","given":"Andreea"},{"family":"Levi","given":"Retsef"},{"family":"Sinha","given":"Deeksha"},{"family":"Wilde","given":"Joshua"},{"family":"Sarker","given":"Arnab"},{"family":"Jadbabaie","given":"Ali"},{"family":"Shah","given":"Devavrat"},{"family":"Penna","given":"Nicolas D."},{"family":"Celi","given":"Leo A."},{"family":"Sundar","given":"Saketh"},{"family":"Wolfinger","given":"Russ"},{"family":"Osthus","given":"Dave"},{"family":"Castro","given":"Lauren"},{"family":"Fairchild","given":"Geoffrey"},{"family":"Michaud","given":"Isaac"},{"family":"Karlen","given":"Dean"},{"family":"Kinsey","given":"Matt"},{"family":"Tallaksen","given":"Katharine"},{"family":"Wilson","given":"Shelby"},{"family":"Shin","given":"Lauren"},{"family":"Mullany","given":"Luke C."},{"family":"Rainwater-Lovett","given":"Kaitlin"},{"family":"Lee","given":"Elizabeth C."},{"family":"Dent","given":"Juan"},{"family":"Grantz","given":"Kyra H."},{"family":"Kaminsky","given":"Joshua"},{"family":"Kaminsky","given":"Kathryn"},{"family":"Keegan","given":"Lindsay T."},{"family":"Lauer","given":"Stephen A."},{"family":"Lemaitre","given":"Joseph C."},{"family":"Lessler","given":"Justin"},{"family":"Meredith","given":"Hannah R."},{"family":"Perez-Saez","given":"Javier"},{"family":"Shah","given":"Sam"},{"family":"Smith","given":"Claire P."},{"family":"Truelove","given":"Shaun A."},{"family":"Wills","given":"Josh"},{"family":"Marshall","given":"Maximilian"},{"family":"Gardner","given":"Lauren"},{"family":"Nixon","given":"Kristen"},{"family":"Burant","given":"John C."},{"family":"Wang","given":"Lily"},{"family":"Gao","given":"Lei"},{"family":"Gu","given":"Zhiling"},{"family":"Kim","given":"Myungjin"},{"family":"Li","given":"Xinyi"},{"family":"Wang","given":"Guanna</w:t>
        </w:r>
        <w:r w:rsidR="00510DFD" w:rsidRPr="00510DFD">
          <w:rPr>
            <w:rStyle w:val="Hyperlink"/>
            <w:rFonts w:ascii="Calibri" w:hAnsi="Calibri" w:cs="Calibri"/>
          </w:rPr>
          <w:lastRenderedPageBreak/>
          <w:t>n"},{"family":"Wang","given":"Yueying"},{"family":"Yu","given":"Shan"},{"family":"Reiner","given":"Robert C."},{"family":"Barber","given":"Ryan"},{"family":"Gaikedu","given":"Emmanuela"},{"family":"Hay","given":"Simon"},{"family":"Lim","given":"Steve"},{"family":"Murray","given":"Chris"},{"family":"Pigott","given":"David"},{"family":"Gurung","given":"Heidi L."},{"family":"Baccam","given":"Prasith"},{"family":"Stage","given":"Steven A."},{"family":"Suchoski","given":"Bradley T."},{"family":"Prakash","given":"B. Aditya"},{"family":"Adhikari","given":"Bijaya"},{"family":"Cui","given":"Jiaming"},{"family":"Rodríguez","given":"Alexander"},{"family":"Tabassum","given":"Anika"},{"family":"Xie","given":"Jiajia"},{"family":"Keskinocak","given":"Pinar"},{"family":"Asplund","given":"John"},{"family":"Baxter","given":"Arden"},{"family":"Oruc","given":"Buse Eylul"},{"family":"Serban","given":"Nicoleta"},{"family":"Arik","given":"Sercan O."},{"family":"Dusenberry","given":"Mike"},{"family":"Epshteyn","given":"Arkady"},{"family":"Kanal","given":"Elli"},{"family":"Le","given":"Long T."},{"family":"Li","given":"Chun-Liang"},{"family":"Pfister","given":"Tomas"},{"family":"Sava","given":"Dario"},{"family":"Sinha","given":"Rajarishi"},{"family":"Tsai","given":"Thomas"},{"family":"Yoder","given":"Nate"},{"family":"Yoon","given":"Jinsung"},{"family":"Zhang","given":"Leyou"},{"family":"Abbott","given":"Sam"},{"family":"Bosse","given":"Nikos I."},{"family":"Funk","given":"Sebastian"},{"family":"Meakin","given":"Sophie R."},{"family":"Sherratt","given":"Katherine"},{"family":"Zhou","given":"Mingyuan"},{"family":"Kalantari","given":"Rahi"},{"family":"Yamana","given":"Teresa K."},{"family":"Pei","given":"Sen"},{"family":"Shaman","given":"Jeffrey"},{"family":"Li","given":"Michael L."},{"family":"Bertsimas","given":"Dimitris"},{"family":"Lami","given":"Omar Skali"},{"family":"Soni","given":"Saksham"},{"family":"Bouardi","given":"Hamza Tazi"},{"family":"Ayer","given":"Turgay"},{"family":"Adee","given":"Madeline"},{"family":"Chhatwal","given":"Jagpreet"},{"family":"Dalgic","given":"Ozden O."},{"family":"Ladd","given":"Mary A."},{"family":"Linas","given":"Benjamin P."},{"family":"Mueller","given":"Peter"},{"family":"Xiao","given":"Jade"},{"family":"Wang","given":"Yuanjia"},{"family":"Wang","given":"Qinxia"},{"family":"Xie","given":"Shanghong"},{"family":"Zeng","given":"Donglin"},{"family":"Green","given":"Alden"},{"family":"Bien","given":"Jacob"},{"family":"Brooks","given":"Logan"},{"family":"McDonald","given":"Daniel"},{"family":"Hu","given":"Addison J."},{"family":"Jahja","given":"Maria"},{"family":"Narasimhan","given":"Balasubramanian"},{"family":"Politsch","given":"Collin"},{"family":"Rajanala","given":"Samyak"},{"family":"Rumack","given":"Aaron"},{"family":"Simon","given":"Noah"},{"family":"Tibshirani","given":"Ryan"},{"family":"Tibshirani","given":"Rob"},{"family":"Ventura","given":"Valerie"},{"family":"Wasserman","given":"Larry"},{"family":"O’Dea","given":"Eamon B."},{"family":"Drake","given":"John M."},{"family":"Pagano","given":"Robert"},{"family":"Abernethy","given":"Neil F."},{"family":"Walker","given":"Jo W."},{"family":"Slayton","given":"Rachel B."},{"family":"Johansson","given":"Michael"},{"family":"Biggerstaff","given":"Matthew"},{"family":"Reich","given":"Nicholas G."}],"issued":{"date-parts":[["2021",7,23]]}}}],"schema":"https://github.com/citation-style-language/schema/raw/master/csl-citation.json"}</w:t>
        </w:r>
      </w:hyperlink>
      <w:r w:rsidRPr="00B75392">
        <w:rPr>
          <w:rFonts w:ascii="Calibri" w:eastAsia="Times New Roman" w:hAnsi="Calibri" w:cs="Calibri"/>
          <w:color w:val="000000"/>
          <w:lang w:eastAsia="en-GB"/>
        </w:rPr>
        <w:t xml:space="preserve"> and Germany</w:t>
      </w:r>
      <w:r w:rsidR="00F625B8">
        <w:rPr>
          <w:rFonts w:ascii="Calibri" w:eastAsia="Times New Roman" w:hAnsi="Calibri" w:cs="Calibri"/>
          <w:color w:val="000000"/>
          <w:lang w:eastAsia="en-GB"/>
        </w:rPr>
        <w:t xml:space="preserve"> </w:t>
      </w:r>
      <w:hyperlink r:id="rId7" w:history="1">
        <w:r w:rsidR="00510DFD" w:rsidRPr="00510DFD">
          <w:rPr>
            <w:rStyle w:val="Hyperlink"/>
            <w:rFonts w:ascii="Calibri" w:hAnsi="Calibri" w:cs="Calibri"/>
          </w:rPr>
          <w:t xml:space="preserve">ITEM CSL_CITATION {"citationID":"Hx83DKmU","properties":{"formattedCitation":"[3]","plainCitation":"[3]","noteIndex":0},"citationItems":[{"id":1498,"uris":["http://zotero.org/users/5456110/items/E5GCCUII"],"uri":["http://zotero.org/users/5456110/items/E5GCCUII"],"itemData":{"id":1498,"type":"report","abstract":"We report insights from ten weeks of collaborative COVID-19 forecasting for Germany and Poland (12 October – 19 December 2020). The study period covers the onset of the second wave in both countries, with tightening non-pharmaceutical interventions (NPIs) and subsequently a decay (Poland) or plateau and renewed increase (Germany) in reported cases. Thirteen independent teams provided probabilistic real-time forecasts of COVID-19 cases and deaths. These were reported for lead times of one to four weeks, with evaluation focused on one- and two-week horizons, which are less affected by changing NPIs. Heterogeneity between forecasts was considerable both in terms of point </w:t>
        </w:r>
        <w:r w:rsidR="00510DFD" w:rsidRPr="00510DFD">
          <w:rPr>
            <w:rStyle w:val="Hyperlink"/>
            <w:rFonts w:ascii="Calibri" w:hAnsi="Calibri" w:cs="Calibri"/>
          </w:rPr>
          <w:lastRenderedPageBreak/>
          <w:t>predictions and forecast spread. Ensemble forecasts showed good relative performance, in particular in terms of coverage, but did not clearly dominate single-model predictions. The study was preregistered and will be followed up in future phases of the pandemic.","language":"en","note":"Company: Cold Spring Harbor Laboratory Press\nDOI: 10.1101/2020.12.24.20248826\nDistributor: Cold Spring Harbor Laboratory Press\nLabel: Cold Spring Harbor Laboratory Press\ntype: article","page":"2020.12.24.20248826","source":"medRxiv","title":"Short-term forecasting of COVID-19 in Germany and Poland during the second wave – a preregistered study","URL":"https://www.medrxiv.org/content/10.1101/2020.12.24.20248826v2","author":[{"family":"Bracher","given":"J."},{"family":"Wolffram","given":"D."},{"family":"Deuschel","given":"J."},{"family":"Görgen","given":"K."},{"family":"Ketterer","given":"J. L."},{"family":"Ullrich","given":"A."},{"family":"Abbott","given":"S."},{"family":"Barbarossa","given":"M. V."},{"family":"Bertsimas","given":"D."},{"family":"Bhatia","given":"S."},{"family":"Bodych","given":"M."},{"family":"Bosse","given":"N. I."},{"family":"Burgard","given":"J. P."},{"family":"Castro","given":"L."},{"family":"Fairchild","given":"G."},{"family":"Fuhrmann","given":"J."},{"family":"Funk","given":"S."},{"family":"Gogolewski","given":"K."},{"family":"Gu","given":"Q."},{"family":"Heyder","given":"S."},{"family":"Hotz","given":"T."},{"family":"Kheifetz","given":"Y."},{"family":"Kirsten","given":"H."},{"family":"Krueger","given":"T."},{"family":"Krymova","given":"E."},{"family":"Li","given":"M. L."},{"family":"Meinke","given":"J. H."},{"family":"Michaud","given":"I. J."},{"family":"Niedzielewski","given":"K."},{"family":"Ożański","given":"T."},{"family":"Rakowski","given":"F."},{"family":"Scholz","given":"M."},{"family":"Soni","given":"S."},{"family":"Srivastava","given":"A."},{"family":"Zieliński","given":"J."},{"family":"Zou","given":"D."},{"family":"Gneiting","given":"T."},{"family":"Schienle","given":"M."}],"accessed":{"date-parts":[["2021",9,1]]},"issued":{"date-parts":[["2021",1,11]]}}}],"schema":"https://github.com/citation-style-language/schema/raw/master/csl-citation.json"}</w:t>
        </w:r>
      </w:hyperlink>
      <w:r w:rsidRPr="00B75392">
        <w:rPr>
          <w:rFonts w:ascii="Calibri" w:eastAsia="Times New Roman" w:hAnsi="Calibri" w:cs="Calibri"/>
          <w:color w:val="000000"/>
          <w:lang w:eastAsia="en-GB"/>
        </w:rPr>
        <w:t>.</w:t>
      </w:r>
    </w:p>
    <w:p w14:paraId="43DEE6CA" w14:textId="084200E7" w:rsidR="00B75392" w:rsidRPr="00B75392" w:rsidRDefault="005B2F18" w:rsidP="00F027F1">
      <w:pPr>
        <w:spacing w:before="240" w:after="200" w:line="240" w:lineRule="auto"/>
        <w:jc w:val="both"/>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Where multiple forecasts exist for a single</w:t>
      </w:r>
      <w:r w:rsidR="007A51D2">
        <w:rPr>
          <w:rFonts w:ascii="Calibri" w:eastAsia="Times New Roman" w:hAnsi="Calibri" w:cs="Calibri"/>
          <w:color w:val="000000"/>
          <w:lang w:eastAsia="en-GB"/>
        </w:rPr>
        <w:t xml:space="preserve"> target</w:t>
      </w:r>
      <w:r>
        <w:rPr>
          <w:rFonts w:ascii="Calibri" w:eastAsia="Times New Roman" w:hAnsi="Calibri" w:cs="Calibri"/>
          <w:color w:val="000000"/>
          <w:lang w:eastAsia="en-GB"/>
        </w:rPr>
        <w:t xml:space="preserve"> </w:t>
      </w:r>
      <w:r w:rsidR="007A51D2">
        <w:rPr>
          <w:rFonts w:ascii="Calibri" w:eastAsia="Times New Roman" w:hAnsi="Calibri" w:cs="Calibri"/>
          <w:color w:val="000000"/>
          <w:lang w:eastAsia="en-GB"/>
        </w:rPr>
        <w:t xml:space="preserve">outcome, the multiple predicted values can be combined into a single ensemble forecast. This creates a forecast that is typically more accurate than the individual component models </w:t>
      </w:r>
      <w:hyperlink r:id="rId8" w:history="1">
        <w:r w:rsidR="00510DFD" w:rsidRPr="00510DFD">
          <w:rPr>
            <w:rStyle w:val="Hyperlink"/>
            <w:rFonts w:ascii="Calibri" w:hAnsi="Calibri" w:cs="Calibri"/>
          </w:rPr>
          <w:t>ITEM CSL_CITATION {"citationID":"rlDEsnzm","properties":{"formattedCitation":"[1,4]","plainCitation":"[1,4]","noteIndex":0},"citationItems":[{"id":1459,"uris":["http://zotero.org/users/5456110/items/KTE2AR2B"],"uri":["http://zotero.org/users/5456110/items/KTE2AR2B"],"itemData":{"id":1459,"type":"article-journal","abstract":"Influenza infects an estimated 9–35 million individuals each year in the United States and is a contributing cause for between 12,000 and 56,000 deaths annually. Seasonal outbreaks of influenza are common in temperate regions of the world, with highest incidence typically occurring in colder and drier months of the year. Real-time forecasts of influenza transmission can inform public health response to outbreaks. We present the results of a multiinstitution collaborative effort to standardize the collection and evaluation of forecasting models for influenza in the United States for the 2010/2011 through 2016/2017 influenza seasons. For these seven seasons, we assembled weekly real-time forecasts of seven targets of public health interest from 22 different models. We compared forecast accuracy of each model relative to a historical baseline seasonal average. Across all regions of the United States, over half of the models showed consistently better performance than the historical baseline when forecasting incidence of influenza-like illness 1 wk, 2 wk, and 3 wk ahead of available data and when forecasting the timing and magnitude of the seasonal peak. In some regions, delays in data reporting were strongly and negatively associated with forecast accuracy. More timely reporting and an improved overall accessibility to novel and traditional data sources are needed to improve forecasting accuracy and its integration with real-time public health decision making.","container-title":"Proceedings of the National Academy of Sciences","DOI":"10.1073/pnas.1812594116","ISSN":"0027-8424, 1091-6490","issue":"8","journalAbbreviation":"PNAS","language":"en","note":"publisher: National Academy of Sciences\nsection: PNAS Plus\nPMID: 30647115","page":"3146-</w:t>
        </w:r>
        <w:r w:rsidR="00510DFD" w:rsidRPr="00510DFD">
          <w:rPr>
            <w:rStyle w:val="Hyperlink"/>
            <w:rFonts w:ascii="Calibri" w:hAnsi="Calibri" w:cs="Calibri"/>
          </w:rPr>
          <w:lastRenderedPageBreak/>
          <w:t>3154","source":"www.pnas.org","title":"A collaborative multiyear, multimodel assessment of seasonal influenza forecasting in the United States","volume":"116","author":[{"family":"Reich","given":"Nicholas G."},{"family":"Brooks","given":"Logan C."},{"family":"Fox","given":"Spencer J."},{"family":"Kandula","given":"Sasikiran"},{"family":"McGowan","given":"Craig J."},{"family":"Moore","given":"Evan"},{"family":"Osthus","given":"Dave"},{"family":"Ray","given":"Evan L."},{"family":"Tushar","given":"Abhinav"},{"family":"Yamana","given":"Teresa K."},{"family":"Biggerstaff","given":"Matthew"},{"family":"Johansson","given":"Michael A."},{"family":"Rosenfeld","given":"Roni"},{"family":"Shaman","given":"Jeffrey"}],"issued":{"date-parts":[["2019",2,19]]}}},{"id":1437,"uris":["http://zotero.org/users/5456110/items/M6ENPMZL"],"uri":["http://zotero.org/users/5456110/items/M6ENPMZL"],"itemData":{"id":1437,"type":"post-weblog","language":"en-US","note":"section: Forecasting News","title":"Comparing ensemble approaches for short-term probabilistic COVID-19 forecasts in the U.S. - International Institute of Forecasters","URL":"https://forecasters.org/blog/2020/10/28/comparing-ensemble-approaches-for-short-term-probabilistic-covid-19-forecasts-in-the-u-s/","author":[{"family":"Brooks","given":"Logan"}],"accessed":{"date-parts":[["2021",7,15]]},"issued":{"date-parts":[["2020"]]}}}],"schema":"https://github.com/citation-style-language/schema/raw/master/csl-citation.json"}</w:t>
        </w:r>
      </w:hyperlink>
      <w:r w:rsidR="007A51D2">
        <w:rPr>
          <w:rFonts w:ascii="Calibri" w:eastAsia="Times New Roman" w:hAnsi="Calibri" w:cs="Calibri"/>
          <w:color w:val="000000"/>
          <w:lang w:eastAsia="en-GB"/>
        </w:rPr>
        <w:t xml:space="preserve"> and also supports clearer communication of the most likely range of outcomes.</w:t>
      </w:r>
      <w:r w:rsidR="00B75392" w:rsidRPr="00B75392">
        <w:rPr>
          <w:rFonts w:ascii="Calibri" w:eastAsia="Times New Roman" w:hAnsi="Calibri" w:cs="Calibri"/>
          <w:color w:val="000000"/>
          <w:lang w:eastAsia="en-GB"/>
        </w:rPr>
        <w:t xml:space="preserve"> </w:t>
      </w:r>
      <w:r w:rsidR="00DD6851">
        <w:rPr>
          <w:rFonts w:ascii="Calibri" w:eastAsia="Times New Roman" w:hAnsi="Calibri" w:cs="Calibri"/>
          <w:color w:val="000000"/>
          <w:lang w:eastAsia="en-GB"/>
        </w:rPr>
        <w:t>The simplest ensemble method is to treat all contributing models equally and take an average across all forecast values. More involved m</w:t>
      </w:r>
      <w:r w:rsidR="00B75392" w:rsidRPr="00B75392">
        <w:rPr>
          <w:rFonts w:ascii="Calibri" w:eastAsia="Times New Roman" w:hAnsi="Calibri" w:cs="Calibri"/>
          <w:color w:val="000000"/>
          <w:lang w:eastAsia="en-GB"/>
        </w:rPr>
        <w:t xml:space="preserve">ethods of combination </w:t>
      </w:r>
      <w:r w:rsidR="00DD6851">
        <w:rPr>
          <w:rFonts w:ascii="Calibri" w:eastAsia="Times New Roman" w:hAnsi="Calibri" w:cs="Calibri"/>
          <w:color w:val="000000"/>
          <w:lang w:eastAsia="en-GB"/>
        </w:rPr>
        <w:t xml:space="preserve">can account for the likely quality of each forecast’s predictions, by including only a selection of models, and/or adjusting each model’s forecast values by weighting </w:t>
      </w:r>
      <w:r w:rsidR="00B75392" w:rsidRPr="00B75392">
        <w:rPr>
          <w:rFonts w:ascii="Calibri" w:eastAsia="Times New Roman" w:hAnsi="Calibri" w:cs="Calibri"/>
          <w:color w:val="000000"/>
          <w:lang w:eastAsia="en-GB"/>
        </w:rPr>
        <w:t xml:space="preserve">based on some </w:t>
      </w:r>
      <w:r w:rsidR="005454AD">
        <w:rPr>
          <w:rFonts w:ascii="Calibri" w:eastAsia="Times New Roman" w:hAnsi="Calibri" w:cs="Calibri"/>
          <w:color w:val="000000"/>
          <w:lang w:eastAsia="en-GB"/>
        </w:rPr>
        <w:t>measure of forecast quality</w:t>
      </w:r>
      <w:r w:rsidR="00B75392" w:rsidRPr="00B75392">
        <w:rPr>
          <w:rFonts w:ascii="Calibri" w:eastAsia="Times New Roman" w:hAnsi="Calibri" w:cs="Calibri"/>
          <w:color w:val="000000"/>
          <w:lang w:eastAsia="en-GB"/>
        </w:rPr>
        <w:t xml:space="preserve">. </w:t>
      </w:r>
    </w:p>
    <w:p w14:paraId="636B78EC" w14:textId="3269C9FF" w:rsidR="00677FB9" w:rsidRDefault="005454AD" w:rsidP="003C4300">
      <w:pPr>
        <w:spacing w:before="240" w:after="20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Previous work has explored the performance of ensemble forecasts </w:t>
      </w:r>
      <w:r w:rsidR="009B45A3">
        <w:rPr>
          <w:rFonts w:ascii="Calibri" w:eastAsia="Times New Roman" w:hAnsi="Calibri" w:cs="Calibri"/>
          <w:color w:val="000000"/>
          <w:lang w:eastAsia="en-GB"/>
        </w:rPr>
        <w:t>from a large, standardised set of COVID-19 forecasts</w:t>
      </w:r>
      <w:r w:rsidR="000B181A">
        <w:rPr>
          <w:rFonts w:ascii="Calibri" w:eastAsia="Times New Roman" w:hAnsi="Calibri" w:cs="Calibri"/>
          <w:color w:val="000000"/>
          <w:lang w:eastAsia="en-GB"/>
        </w:rPr>
        <w:t xml:space="preserve"> </w:t>
      </w:r>
      <w:hyperlink r:id="rId9" w:history="1">
        <w:r w:rsidR="00510DFD" w:rsidRPr="00510DFD">
          <w:rPr>
            <w:rStyle w:val="Hyperlink"/>
            <w:rFonts w:ascii="Calibri" w:hAnsi="Calibri" w:cs="Calibri"/>
          </w:rPr>
          <w:t>ITEM CSL_CITATION {"citationID":"TT4bHtOS","properties":{"formattedCitation":"[5,6]","plainCitation":"[5,6]","noteIndex":0},"citationItems":[{"id":1559,"uris":["http://zotero.org/users/5456110/items/5J4BE8QN"],"uri":["http://zotero.org/users/5456110/items/5J4BE8QN"],"itemData":{"id":1559,"type":"article-journal","abstract":"The COVID-19 pandemic has placed forecasting models at the forefront of health policy making. Predictions of mortality, cases and hospitalisations help governments meet planning and resource allocation challenges. In this paper, we consider the weekly forecasting of the cumulative mortality due to COVID-19 at the national and state level in the U.S. Optimal decision-making requires a forecast of a probability distribution, rather than just a single point forecast. Interval forecasts are also important, as they can support decision making and provide situational awareness. We consider the case where probabilistic forecasts have been provided by multiple forecasting teams, and we combine the forecasts to extract the wisdom of the crowd. We use a dataset that has been made publicly available from the COVID-19 Forecast Hub. A notable feature of the dataset is that the availability of forecasts from participating teams varies greatly across the 40 weeks in our study. We evaluate the accuracy of combining methods that have been previously proposed for interval forecasts and predictions of probability distributions. These include the use of the simple average, the median, and trimming methods. In addition, we propose several new weighted combining methods. Our results show that, although the median was very useful for the early weeks of the pandemic, the simple average was preferable thereafter, and that, as a history of forecast accuracy accumulates, the best results can be produced by a weighted combining method that uses weights that are inversely proportional to the historical accuracy of the individual forecasting teams.","container-title":"European Journal of Operational Research","DOI":"10.1016/j.ejor.2021.06.044","ISSN":"0377-2217","journalAbbreviation":"Eur J Oper Res","language":"eng","note":"PMID: 34219901\nPMCID: PMC8236414","source":"PubMed","title":"Combining Probabilistic Forecasts of COVID-19 Mortality in the United States","author":[{"family":"Taylor","given":"James W."},{"family":"Taylor","given":"Kathryn S."}],"issued":{"date-parts":[["2021",6,28]]}}},{"id":1261,"uris":["http://zotero.org/users/5456110/items/Q6REWH35"],"u</w:t>
        </w:r>
        <w:r w:rsidR="00510DFD" w:rsidRPr="00510DFD">
          <w:rPr>
            <w:rStyle w:val="Hyperlink"/>
            <w:rFonts w:ascii="Calibri" w:hAnsi="Calibri" w:cs="Calibri"/>
          </w:rPr>
          <w:lastRenderedPageBreak/>
          <w:t>ri":["http://zotero.org/users/5456110/items/Q6REWH35"],"itemData":{"id":1261,"type":"article-journal","abstract":"&lt;p&gt;Background The COVID-19 pandemic has driven demand for forecasts to guide policy and planning. Previous research has suggested that combining forecasts from multiple models into a single \"ensemble\" forecast can increase the robustness of forecasts. Here we evaluate the real-time application of an open, collaborative ensemble to forecast deaths attributable to COVID-19 in the U.S. Methods Beginning on April 13, 2020, we collected and combined one- to four-week ahead forecasts of cumulative deaths for U.S. jurisdictions in standardized, probabilistic formats to generate real-time, publicly available ensemble forecasts. We evaluated the point prediction accuracy and calibration of these forecasts compared to reported deaths. Results Analysis of 2,512 ensemble forecasts made April 27 to July 20 with outcomes observed in the weeks ending May 23 through July 25, 2020 revealed precise short-term forecasts, with accuracy deteriorating at longer prediction horizons of up to four weeks. At all prediction horizons, the prediction intervals were well calibrated with 92-96% of observations falling within the rounded 95% prediction intervals. Conclusions This analysis demonstrates that real-time, publicly available ensemble forecasts issued in April-July 2020 provided robust short-term predictions of reported COVID-19 deaths in the United States. With the ongoing need for forecasts of impacts and resource needs for the COVID-19 response, the results underscore the importance of combining multiple probabilistic models and assessing forecast skill at different prediction horizons. Careful development, assessment, and communication of ensemble forecasts can provide reliable insight to public health decision makers.&lt;/p&gt;","container-title":"medRxiv","DOI":"10.1101/2020.08.19.20177493","language":"en","note":"publisher: Cold Spring Harbor Laboratory Press","page":"2020.08.19.20177493","source":"www.medrxiv.org","title":"Ensemble Forecasts of Coronavirus Disease 2019 (COVID-19) in the U.S.","author":[{"family":"Ray","given":"Evan L."},{"family":"Wattanachit","given":"Nutcha"},{"family":"Niemi","given":"Jarad"},{"family":"Kanji","given":"Abdul Hannan"},{"family":"House","given":"Katie"},{"family":"Cramer","given":"Estee Y."},{"family":"Bracher","given":"Johannes"},{"family":"Zheng","given":"Andrew"},{"family":"Yamana","given":"Teresa K."},{"family":"Xiong","given":"Xinyue"},{"family":"Woody","given":"Spencer"},{"family":"Wang","given":"Yuanjia"},{"family":"Wang","given":"Lily"},{"family":"Walraven","given":"Robert L."},{"family":"Tomar","given":"Vishal"},{"family":"Sherratt","given":"Katherine"},{"family":"Sheldon","given":"Daniel"},{"family":"Reiner","given":"Robert C."},{"family":"Prakash","given":"B. Aditya"},{"family":"Osthus","given":"Dave"},{"family":"Li","given":"Michael Lingzhi"},{"family":"Lee","given":"Elizabeth C."},{"family":"Koyluoglu","given":"Ugur"},{"family":"Keskinocak","given":"Pinar"},{"family":"Gu","given":"Youyang"},{"family":"Gu","given":"Quanquan"},{"family":"George","given":"Glover E."},{"family":"España","given":"Guido"},{"family":"Corsetti","given":"Sabrina"},{"family":"Chhatwal","given":"Jagpreet"},{"family":"Cavany","given":"Sean"},{"family":"Biegel","given":"Hannah"},{"family":"Ben-Nun","given":"Michal"},{"family":"Walker","given":"Jo"},{"family":"Slayton","given":"Rachel"},{"family":"Lopez","given":"Velma"},{"family":"Biggerstaff","given":"Matthew"},{"family":"Johansson","given":"Michael A."},{"family":"Reich","given":"Nicholas G."},{"family":"Consortium","given":"COVID-19 Forecast Hub"}],"issued":{"date-parts":[["2020",8,22]]}}}],"schema":"https://github.com/citation-style-language/schema/raw/master/csl-citation.json"}</w:t>
        </w:r>
      </w:hyperlink>
      <w:r w:rsidR="009B45A3">
        <w:rPr>
          <w:rFonts w:ascii="Calibri" w:eastAsia="Times New Roman" w:hAnsi="Calibri" w:cs="Calibri"/>
          <w:color w:val="000000"/>
          <w:lang w:eastAsia="en-GB"/>
        </w:rPr>
        <w:t xml:space="preserve">. </w:t>
      </w:r>
      <w:r w:rsidR="000B181A">
        <w:rPr>
          <w:rFonts w:ascii="Calibri" w:eastAsia="Times New Roman" w:hAnsi="Calibri" w:cs="Calibri"/>
          <w:color w:val="000000"/>
          <w:lang w:eastAsia="en-GB"/>
        </w:rPr>
        <w:t>While finding that ensemble forecasts perform well, o</w:t>
      </w:r>
      <w:r w:rsidR="00B75392" w:rsidRPr="00B75392">
        <w:rPr>
          <w:rFonts w:ascii="Calibri" w:eastAsia="Times New Roman" w:hAnsi="Calibri" w:cs="Calibri"/>
          <w:color w:val="000000"/>
          <w:lang w:eastAsia="en-GB"/>
        </w:rPr>
        <w:t>ne challenge includes unstable data leading to the inclusion of outlier forecasts</w:t>
      </w:r>
      <w:r w:rsidR="00F625B8">
        <w:rPr>
          <w:rFonts w:ascii="Calibri" w:eastAsia="Times New Roman" w:hAnsi="Calibri" w:cs="Calibri"/>
          <w:color w:val="000000"/>
          <w:lang w:eastAsia="en-GB"/>
        </w:rPr>
        <w:t xml:space="preserve"> </w:t>
      </w:r>
      <w:hyperlink r:id="rId10" w:history="1">
        <w:r w:rsidR="00510DFD" w:rsidRPr="00510DFD">
          <w:rPr>
            <w:rStyle w:val="Hyperlink"/>
            <w:rFonts w:ascii="Calibri" w:hAnsi="Calibri" w:cs="Calibri"/>
          </w:rPr>
          <w:t>ITEM CSL_CITATION {"citationID":"8pLGdxOE","properties":{"formattedCitation":"[7]","plainCitation":"[7]","noteIndex":0},"citationItems":[{"id":1473,"uris":["http://zotero.org/users/5456110/items/EWS3SFTK"],"uri":["http://zotero.org/users/5456110/items/EWS3SFTK"],"itemData":{"id":1473,"type":"post-weblog","language":"en-US","note":"section: Forecasting News","title":"Challenges in training ensembles to forecast COVID-19 cases and deaths in the United States - International Institute of Forecasters","URL":"https://forecasters.org/blog/2021/04/09/challenges-in-training-ensembles-to-</w:t>
        </w:r>
        <w:r w:rsidR="00510DFD" w:rsidRPr="00510DFD">
          <w:rPr>
            <w:rStyle w:val="Hyperlink"/>
            <w:rFonts w:ascii="Calibri" w:hAnsi="Calibri" w:cs="Calibri"/>
          </w:rPr>
          <w:lastRenderedPageBreak/>
          <w:t>forecast-covid-19-cases-and-deaths-in-the-united-states/","author":[{"family":"Ray","given":"Evan"}],"accessed":{"date-parts":[["2021",8,5]]},"issued":{"date-parts":[["2021"]]}}}],"schema":"https://github.com/citation-style-language/schema/raw/master/csl-citation.json"}</w:t>
        </w:r>
      </w:hyperlink>
      <w:r w:rsidR="00B75392" w:rsidRPr="00B75392">
        <w:rPr>
          <w:rFonts w:ascii="Calibri" w:eastAsia="Times New Roman" w:hAnsi="Calibri" w:cs="Calibri"/>
          <w:color w:val="000000"/>
          <w:lang w:eastAsia="en-GB"/>
        </w:rPr>
        <w:t xml:space="preserve">. This is an issue where </w:t>
      </w:r>
      <w:r w:rsidR="000B181A">
        <w:rPr>
          <w:rFonts w:ascii="Calibri" w:eastAsia="Times New Roman" w:hAnsi="Calibri" w:cs="Calibri"/>
          <w:color w:val="000000"/>
          <w:lang w:eastAsia="en-GB"/>
        </w:rPr>
        <w:t xml:space="preserve">models </w:t>
      </w:r>
      <w:r w:rsidR="00B75392" w:rsidRPr="00B75392">
        <w:rPr>
          <w:rFonts w:ascii="Calibri" w:eastAsia="Times New Roman" w:hAnsi="Calibri" w:cs="Calibri"/>
          <w:color w:val="000000"/>
          <w:lang w:eastAsia="en-GB"/>
        </w:rPr>
        <w:t xml:space="preserve">draw from data sources subject to delays or </w:t>
      </w:r>
      <w:r w:rsidR="000B181A">
        <w:rPr>
          <w:rFonts w:ascii="Calibri" w:eastAsia="Times New Roman" w:hAnsi="Calibri" w:cs="Calibri"/>
          <w:color w:val="000000"/>
          <w:lang w:eastAsia="en-GB"/>
        </w:rPr>
        <w:t xml:space="preserve">large </w:t>
      </w:r>
      <w:r w:rsidR="00B75392" w:rsidRPr="00B75392">
        <w:rPr>
          <w:rFonts w:ascii="Calibri" w:eastAsia="Times New Roman" w:hAnsi="Calibri" w:cs="Calibri"/>
          <w:color w:val="000000"/>
          <w:lang w:eastAsia="en-GB"/>
        </w:rPr>
        <w:t>revisions</w:t>
      </w:r>
      <w:r w:rsidR="000B181A">
        <w:rPr>
          <w:rFonts w:ascii="Calibri" w:eastAsia="Times New Roman" w:hAnsi="Calibri" w:cs="Calibri"/>
          <w:color w:val="000000"/>
          <w:lang w:eastAsia="en-GB"/>
        </w:rPr>
        <w:t>, which</w:t>
      </w:r>
      <w:r w:rsidR="00B75392" w:rsidRPr="00B75392">
        <w:rPr>
          <w:rFonts w:ascii="Calibri" w:eastAsia="Times New Roman" w:hAnsi="Calibri" w:cs="Calibri"/>
          <w:color w:val="000000"/>
          <w:lang w:eastAsia="en-GB"/>
        </w:rPr>
        <w:t xml:space="preserve"> </w:t>
      </w:r>
      <w:r w:rsidR="000B181A">
        <w:rPr>
          <w:rFonts w:ascii="Calibri" w:eastAsia="Times New Roman" w:hAnsi="Calibri" w:cs="Calibri"/>
          <w:color w:val="000000"/>
          <w:lang w:eastAsia="en-GB"/>
        </w:rPr>
        <w:t>can skew model parameters estimating change over time.</w:t>
      </w:r>
      <w:r w:rsidR="00B75392" w:rsidRPr="00B75392">
        <w:rPr>
          <w:rFonts w:ascii="Calibri" w:eastAsia="Times New Roman" w:hAnsi="Calibri" w:cs="Calibri"/>
          <w:color w:val="000000"/>
          <w:lang w:eastAsia="en-GB"/>
        </w:rPr>
        <w:t xml:space="preserve"> </w:t>
      </w:r>
      <w:r w:rsidR="000B181A">
        <w:rPr>
          <w:rFonts w:ascii="Calibri" w:eastAsia="Times New Roman" w:hAnsi="Calibri" w:cs="Calibri"/>
          <w:color w:val="000000"/>
          <w:lang w:eastAsia="en-GB"/>
        </w:rPr>
        <w:t>Including these forecasts in turn distorts</w:t>
      </w:r>
      <w:r w:rsidR="00B75392" w:rsidRPr="00B75392">
        <w:rPr>
          <w:rFonts w:ascii="Calibri" w:eastAsia="Times New Roman" w:hAnsi="Calibri" w:cs="Calibri"/>
          <w:color w:val="000000"/>
          <w:lang w:eastAsia="en-GB"/>
        </w:rPr>
        <w:t xml:space="preserve"> the performance of </w:t>
      </w:r>
      <w:r w:rsidR="000B181A">
        <w:rPr>
          <w:rFonts w:ascii="Calibri" w:eastAsia="Times New Roman" w:hAnsi="Calibri" w:cs="Calibri"/>
          <w:color w:val="000000"/>
          <w:lang w:eastAsia="en-GB"/>
        </w:rPr>
        <w:t>ensembles.</w:t>
      </w:r>
    </w:p>
    <w:p w14:paraId="0CC49969" w14:textId="22F74440" w:rsidR="000B181A" w:rsidRDefault="000B181A" w:rsidP="00F027F1">
      <w:pPr>
        <w:spacing w:before="240" w:after="20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One way to address this is to simply exclude ensembles made around anomalous data points likely to have confounded the component models. However, this reduces the available pool of forecast targets with which to evaluate ensemble performance and could introduce selection bias in which ensembles are evaluated, if large data anomalies are associated with relatively more difficult </w:t>
      </w:r>
      <w:r w:rsidR="00F65033">
        <w:rPr>
          <w:rFonts w:ascii="Calibri" w:eastAsia="Times New Roman" w:hAnsi="Calibri" w:cs="Calibri"/>
          <w:color w:val="000000"/>
          <w:lang w:eastAsia="en-GB"/>
        </w:rPr>
        <w:t xml:space="preserve">(or easier) </w:t>
      </w:r>
      <w:r>
        <w:rPr>
          <w:rFonts w:ascii="Calibri" w:eastAsia="Times New Roman" w:hAnsi="Calibri" w:cs="Calibri"/>
          <w:color w:val="000000"/>
          <w:lang w:eastAsia="en-GB"/>
        </w:rPr>
        <w:t>to predict patterns.</w:t>
      </w:r>
      <w:r w:rsidR="00F65033">
        <w:rPr>
          <w:rFonts w:ascii="Calibri" w:eastAsia="Times New Roman" w:hAnsi="Calibri" w:cs="Calibri"/>
          <w:color w:val="000000"/>
          <w:lang w:eastAsia="en-GB"/>
        </w:rPr>
        <w:t xml:space="preserve"> </w:t>
      </w:r>
    </w:p>
    <w:p w14:paraId="4478345A" w14:textId="240C250B" w:rsidR="00B75392" w:rsidRPr="00B75392" w:rsidRDefault="00B75392" w:rsidP="00F65033">
      <w:pPr>
        <w:spacing w:before="240" w:after="20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 xml:space="preserve">This </w:t>
      </w:r>
      <w:r w:rsidR="00F65033">
        <w:rPr>
          <w:rFonts w:ascii="Calibri" w:eastAsia="Times New Roman" w:hAnsi="Calibri" w:cs="Calibri"/>
          <w:color w:val="000000"/>
          <w:lang w:eastAsia="en-GB"/>
        </w:rPr>
        <w:t>study</w:t>
      </w:r>
      <w:r w:rsidRPr="00B75392">
        <w:rPr>
          <w:rFonts w:ascii="Calibri" w:eastAsia="Times New Roman" w:hAnsi="Calibri" w:cs="Calibri"/>
          <w:color w:val="000000"/>
          <w:lang w:eastAsia="en-GB"/>
        </w:rPr>
        <w:t xml:space="preserve"> </w:t>
      </w:r>
      <w:r w:rsidR="00F65033">
        <w:rPr>
          <w:rFonts w:ascii="Calibri" w:eastAsia="Times New Roman" w:hAnsi="Calibri" w:cs="Calibri"/>
          <w:color w:val="000000"/>
          <w:lang w:eastAsia="en-GB"/>
        </w:rPr>
        <w:t>aims to</w:t>
      </w:r>
      <w:r w:rsidRPr="00B75392">
        <w:rPr>
          <w:rFonts w:ascii="Calibri" w:eastAsia="Times New Roman" w:hAnsi="Calibri" w:cs="Calibri"/>
          <w:color w:val="000000"/>
          <w:lang w:eastAsia="en-GB"/>
        </w:rPr>
        <w:t xml:space="preserve"> investigate </w:t>
      </w:r>
      <w:r w:rsidR="00F65033">
        <w:rPr>
          <w:rFonts w:ascii="Calibri" w:eastAsia="Times New Roman" w:hAnsi="Calibri" w:cs="Calibri"/>
          <w:color w:val="000000"/>
          <w:lang w:eastAsia="en-GB"/>
        </w:rPr>
        <w:t xml:space="preserve">both </w:t>
      </w:r>
      <w:r w:rsidRPr="00B75392">
        <w:rPr>
          <w:rFonts w:ascii="Calibri" w:eastAsia="Times New Roman" w:hAnsi="Calibri" w:cs="Calibri"/>
          <w:color w:val="000000"/>
          <w:lang w:eastAsia="en-GB"/>
        </w:rPr>
        <w:t>simple and weighted ensembles</w:t>
      </w:r>
      <w:r w:rsidR="00F65033">
        <w:rPr>
          <w:rFonts w:ascii="Calibri" w:eastAsia="Times New Roman" w:hAnsi="Calibri" w:cs="Calibri"/>
          <w:color w:val="000000"/>
          <w:lang w:eastAsia="en-GB"/>
        </w:rPr>
        <w:t xml:space="preserve">. </w:t>
      </w:r>
      <w:r w:rsidR="004915E9">
        <w:rPr>
          <w:rFonts w:ascii="Calibri" w:eastAsia="Times New Roman" w:hAnsi="Calibri" w:cs="Calibri"/>
          <w:color w:val="000000"/>
          <w:lang w:eastAsia="en-GB"/>
        </w:rPr>
        <w:t>W</w:t>
      </w:r>
      <w:r w:rsidR="00F65033">
        <w:rPr>
          <w:rFonts w:ascii="Calibri" w:eastAsia="Times New Roman" w:hAnsi="Calibri" w:cs="Calibri"/>
          <w:color w:val="000000"/>
          <w:lang w:eastAsia="en-GB"/>
        </w:rPr>
        <w:t>e address the problem of unstable data by using national level forecasts for weekly counts of incident cases and deaths. National data sources are more likely to be better maintained over time  and less subject to large relative fluctuations around low counts</w:t>
      </w:r>
      <w:r w:rsidR="00F625B8">
        <w:rPr>
          <w:rFonts w:ascii="Calibri" w:eastAsia="Times New Roman" w:hAnsi="Calibri" w:cs="Calibri"/>
          <w:color w:val="000000"/>
          <w:lang w:eastAsia="en-GB"/>
        </w:rPr>
        <w:t xml:space="preserve"> </w:t>
      </w:r>
      <w:hyperlink r:id="rId11" w:history="1">
        <w:r w:rsidR="00510DFD" w:rsidRPr="00510DFD">
          <w:rPr>
            <w:rStyle w:val="Hyperlink"/>
            <w:rFonts w:ascii="Calibri" w:hAnsi="Calibri" w:cs="Calibri"/>
          </w:rPr>
          <w:t>ITEM CSL_CITATION {"citationID":"leOG8FW2","properties":{"formattedCitation":"[8]","plainCitation":"[8]","noteIndex":0},"citationItems":[{"id":1492,"uris":["http://zotero.org/users/5456110/items/8XTMN9DS"],"uri":["http://zotero.org/users/5456110/items/8XTMN9DS"],"itemData":{"id":1492,"type":"article-journal","abstract":"Mathematical models, such as those that forecast the spread of epidemics or predict the weather, must overcome the challenges of integrating incomplete and inaccurate data in computer simulations, estimating the probability of multiple possible scenarios, incorporating changes in human behavior and/or the pathogen, and environmental factors. In the past 3 decades, the weather forecasting community has made significant advances in data collection, assimilating heterogeneous data steams into models and communicating the uncertainty of their predictions to the general public. Epidemic modelers are struggling with these same issues in forecasting the spread of emerging diseases, such as Zika virus infection and Ebola virus disease. While weather models rely on physical systems, data from satellites, and weather stations, epidemic models rely on human interactions, multiple data sources such as clinical surveillance and Internet data, and environmental or biological factors that can change the pathogen dynamics. We describe some of similarities and differences between these 2 fields and how the epidemic modeling community is rising to the challenges posed by forecasting to help anticipate and guide the mitigation of epidemics. We conclude that some of the fundamental differences between these 2 fields, such as human behavior, make disease forecasting more challenging than weather forecasting.","container-title":"The Journal of Infectious Diseases","DOI":"10.1093/infdis/jiw375","ISSN":"0022-1899","issue":"suppl_4","journalAbbreviation":"The Journal of Infectious Diseases","page":"S404-S408","source":"Silverchair","title":"Epidemic Forecasting is Messier Than Weather Forecasting: The Role of Human Behavior and Internet Data Streams in Epidemic Forecast","title-short":"Epidemic Forecasting is Messier Than Weather Forecasting","volume":"214","author":[{"family":"Moran","given":"Kelly R."},{"family":"Fairchild","given":"Geoffrey"},{"family":"Generous","given":"Nicholas"},{"family":"Hickmann","given":"Kyle"},{"family":"Osthus","given":"Dave"},{"family":"Priedhorsky","given":"Reid"},{"family":"Hyman","given":"James"},{"family":"Del Valle","given":"Sara Y."}],"issued":{"date-parts":[["2016",12,1]]}}}],"schema":"https://github.com/citation-style-language/schema/raw/master/csl-citation.json"}</w:t>
        </w:r>
      </w:hyperlink>
      <w:r w:rsidR="00F65033">
        <w:rPr>
          <w:rFonts w:ascii="Calibri" w:eastAsia="Times New Roman" w:hAnsi="Calibri" w:cs="Calibri"/>
          <w:color w:val="000000"/>
          <w:lang w:eastAsia="en-GB"/>
        </w:rPr>
        <w:t xml:space="preserve">. </w:t>
      </w:r>
      <w:r w:rsidR="004915E9">
        <w:rPr>
          <w:rFonts w:ascii="Calibri" w:eastAsia="Times New Roman" w:hAnsi="Calibri" w:cs="Calibri"/>
          <w:color w:val="000000"/>
          <w:lang w:eastAsia="en-GB"/>
        </w:rPr>
        <w:t xml:space="preserve">Using </w:t>
      </w:r>
      <w:r w:rsidR="004915E9" w:rsidRPr="00B75392">
        <w:rPr>
          <w:rFonts w:ascii="Calibri" w:eastAsia="Times New Roman" w:hAnsi="Calibri" w:cs="Calibri"/>
          <w:color w:val="000000"/>
          <w:lang w:eastAsia="en-GB"/>
        </w:rPr>
        <w:t>the European COVID-19 forecasting hub</w:t>
      </w:r>
      <w:r w:rsidR="004915E9">
        <w:rPr>
          <w:rFonts w:ascii="Calibri" w:eastAsia="Times New Roman" w:hAnsi="Calibri" w:cs="Calibri"/>
          <w:color w:val="000000"/>
          <w:lang w:eastAsia="en-GB"/>
        </w:rPr>
        <w:t xml:space="preserve"> </w:t>
      </w:r>
      <w:r w:rsidR="00F65033">
        <w:rPr>
          <w:rFonts w:ascii="Calibri" w:eastAsia="Times New Roman" w:hAnsi="Calibri" w:cs="Calibri"/>
          <w:color w:val="000000"/>
          <w:lang w:eastAsia="en-GB"/>
        </w:rPr>
        <w:t xml:space="preserve">should create a stable dataset of incident counts across countries which can be used to evaluate the performance of </w:t>
      </w:r>
      <w:r w:rsidR="002C0492">
        <w:rPr>
          <w:rFonts w:ascii="Calibri" w:eastAsia="Times New Roman" w:hAnsi="Calibri" w:cs="Calibri"/>
          <w:color w:val="000000"/>
          <w:lang w:eastAsia="en-GB"/>
        </w:rPr>
        <w:t xml:space="preserve">both simple and weighted </w:t>
      </w:r>
      <w:r w:rsidR="00F65033">
        <w:rPr>
          <w:rFonts w:ascii="Calibri" w:eastAsia="Times New Roman" w:hAnsi="Calibri" w:cs="Calibri"/>
          <w:color w:val="000000"/>
          <w:lang w:eastAsia="en-GB"/>
        </w:rPr>
        <w:t>ensemble forecasts.</w:t>
      </w:r>
    </w:p>
    <w:p w14:paraId="527D281A"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b/>
          <w:bCs/>
          <w:color w:val="000000"/>
          <w:lang w:eastAsia="en-GB"/>
        </w:rPr>
        <w:t>Methods</w:t>
      </w:r>
    </w:p>
    <w:p w14:paraId="26784B42"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i/>
          <w:iCs/>
          <w:color w:val="000000"/>
          <w:lang w:eastAsia="en-GB"/>
        </w:rPr>
        <w:t>Component models</w:t>
      </w:r>
    </w:p>
    <w:p w14:paraId="6FEBE656"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lastRenderedPageBreak/>
        <w:t>We collected forecasts for incident weekly cases and deaths reported as COVID-19 across 32 European countries from 8 March through August 2021. Forecasts could predict between one and four weeks into the future, and predictions could be expressed deterministically (as a point forecast), or probabilistically as any subset of 23 quantile prediction intervals, with further specifications of each forecast model given in (#forecast-paper, #github-repo).</w:t>
      </w:r>
    </w:p>
    <w:p w14:paraId="47F05665"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Each week we combined the available forecasts for that week into an ensemble forecast. Forecasts had to match certain criteria to be included in an ensemble. Forecasts must have been created in real time, and we did not include forecasts made after data became available. We excluded forecasts targeting or made immediately after a known anomalous data point.</w:t>
      </w:r>
    </w:p>
    <w:p w14:paraId="6A2F42EC"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i/>
          <w:iCs/>
          <w:color w:val="000000"/>
          <w:lang w:eastAsia="en-GB"/>
        </w:rPr>
        <w:t>Weighting and averaging</w:t>
      </w:r>
    </w:p>
    <w:p w14:paraId="32273698"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We combined each model’s forecasts for each target, country, horizon, and prediction interval (of 23 available quantiles) to create an ensemble. We used both mean and median methods of averaging across forecasts. </w:t>
      </w:r>
    </w:p>
    <w:p w14:paraId="25663D69"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For each averaging method, we used three methods of weighting any individual predicted value. Simple ensembles took the average predicted value from all forecasts, giving equal contributions from all forecasts available for any given target. Two methods of weighting were based on past performance of an individual model, with performance taken either on average across one through four week forecast horizons, or by each week ahead horizon.</w:t>
      </w:r>
    </w:p>
    <w:p w14:paraId="5E4EB6F7"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To create weights for component models, we measured past performance using the interval score. The interval score evaluates probabilistic forecasts by accounting for both calibration and sharpness of a forecast (#bracher). We excluded models which did not provide the total set of 23 prediction intervals from weighted ensembles.</w:t>
      </w:r>
    </w:p>
    <w:p w14:paraId="0CCE090F"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However, models varied in predicting any one or multiple targets combined from a choice of predicting case or death counts, for 32 countries, and at four forecast horizons (weeks ahead predictions). To account for this variation, we weighted the interval score based on comparing each model’s score to every other model forecasting for the same target, creating a pairwise comparison tournament. We then took the geometric mean of these pairwise comparisons for each model. This resulted in a single score per model for each of two target counts, 32 locations, and four forecast horizons. Separately, at this point we also averaged these scores across forecast horizons.</w:t>
      </w:r>
    </w:p>
    <w:p w14:paraId="573E4A6E" w14:textId="2A4EF039"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 xml:space="preserve">To evaluate these scores against the simplest possible prediction, we set a baseline model of a flat forecast with expanding bounds of uncertainty. We took the weighted interval score of each model and scaled it against the performance of the baseline forecast, giving a measure of performance that accounted for each forecast’s individual skill compared to all other equivalent forecasts and a simple baseline. We took the inverse of these scores to create weights on a scale of </w:t>
      </w:r>
      <w:r w:rsidR="008868DB" w:rsidRPr="00B75392">
        <w:rPr>
          <w:rFonts w:ascii="Calibri" w:eastAsia="Times New Roman" w:hAnsi="Calibri" w:cs="Calibri"/>
          <w:color w:val="000000"/>
          <w:lang w:eastAsia="en-GB"/>
        </w:rPr>
        <w:t>0-1 and</w:t>
      </w:r>
      <w:r w:rsidRPr="00B75392">
        <w:rPr>
          <w:rFonts w:ascii="Calibri" w:eastAsia="Times New Roman" w:hAnsi="Calibri" w:cs="Calibri"/>
          <w:color w:val="000000"/>
          <w:lang w:eastAsia="en-GB"/>
        </w:rPr>
        <w:t xml:space="preserve"> applied these to a model’s forecast values at all quantile predictions for each model. We then averaged across these weighted values at each quantile.</w:t>
      </w:r>
    </w:p>
    <w:p w14:paraId="0BBA50D4" w14:textId="59B82938"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To evaluate the simple and weighted mean and median ensemble forecasts, we used the same measure of performance described above based on calculating the relative interval score scaled to a baseline. We also explored measures of coverage, the extent to which a probabilistic prediction was calibrated to observations and compared the performance of each ensemble across each target count, location, and forecasting horizon.</w:t>
      </w:r>
    </w:p>
    <w:p w14:paraId="00685B83" w14:textId="77777777" w:rsidR="00F027F1" w:rsidRDefault="00B75392" w:rsidP="00F027F1">
      <w:pPr>
        <w:spacing w:before="240" w:line="240" w:lineRule="auto"/>
        <w:jc w:val="both"/>
        <w:rPr>
          <w:rFonts w:ascii="Calibri" w:eastAsia="Times New Roman" w:hAnsi="Calibri" w:cs="Calibri"/>
          <w:color w:val="000000"/>
          <w:lang w:eastAsia="en-GB"/>
        </w:rPr>
      </w:pPr>
      <w:r w:rsidRPr="00B75392">
        <w:rPr>
          <w:rFonts w:ascii="Calibri" w:eastAsia="Times New Roman" w:hAnsi="Calibri" w:cs="Calibri"/>
          <w:b/>
          <w:bCs/>
          <w:color w:val="000000"/>
          <w:lang w:eastAsia="en-GB"/>
        </w:rPr>
        <w:t>Results</w:t>
      </w:r>
      <w:bookmarkStart w:id="0" w:name="component-forecasts"/>
    </w:p>
    <w:p w14:paraId="668177C8" w14:textId="406511CA"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i/>
          <w:iCs/>
          <w:color w:val="000000"/>
          <w:lang w:eastAsia="en-GB"/>
        </w:rPr>
        <w:t>Component models</w:t>
      </w:r>
    </w:p>
    <w:p w14:paraId="0FDD2447" w14:textId="77777777" w:rsidR="00F027F1" w:rsidRDefault="00F027F1" w:rsidP="00F027F1">
      <w:pPr>
        <w:pStyle w:val="CaptionedFigure"/>
        <w:spacing w:before="240"/>
      </w:pPr>
      <w:r>
        <w:rPr>
          <w:noProof/>
        </w:rPr>
        <w:lastRenderedPageBreak/>
        <w:drawing>
          <wp:inline distT="0" distB="0" distL="0" distR="0" wp14:anchorId="5B0B295E" wp14:editId="563EE82B">
            <wp:extent cx="5334000" cy="2667000"/>
            <wp:effectExtent l="0" t="0" r="0" b="0"/>
            <wp:docPr id="1" name="Picture" descr="Figure #: Number of component forecasts over time"/>
            <wp:cNvGraphicFramePr/>
            <a:graphic xmlns:a="http://schemas.openxmlformats.org/drawingml/2006/main">
              <a:graphicData uri="http://schemas.openxmlformats.org/drawingml/2006/picture">
                <pic:pic xmlns:pic="http://schemas.openxmlformats.org/drawingml/2006/picture">
                  <pic:nvPicPr>
                    <pic:cNvPr id="0" name="Picture" descr="./figures/n-component-models.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31C56B7F" w14:textId="09103DC9" w:rsidR="00F027F1" w:rsidRPr="00F027F1" w:rsidRDefault="00F027F1" w:rsidP="00F027F1">
      <w:pPr>
        <w:spacing w:before="240" w:line="240" w:lineRule="auto"/>
        <w:jc w:val="both"/>
        <w:rPr>
          <w:rFonts w:ascii="Calibri" w:eastAsia="Times New Roman" w:hAnsi="Calibri" w:cs="Calibri"/>
          <w:i/>
          <w:iCs/>
          <w:color w:val="000000"/>
          <w:lang w:eastAsia="en-GB"/>
        </w:rPr>
      </w:pPr>
      <w:r w:rsidRPr="00F027F1">
        <w:rPr>
          <w:rFonts w:ascii="Calibri" w:eastAsia="Times New Roman" w:hAnsi="Calibri" w:cs="Calibri"/>
          <w:i/>
          <w:iCs/>
          <w:color w:val="000000"/>
          <w:lang w:eastAsia="en-GB"/>
        </w:rPr>
        <w:t xml:space="preserve">Figure </w:t>
      </w:r>
      <w:r w:rsidR="003E191B">
        <w:rPr>
          <w:rFonts w:ascii="Calibri" w:eastAsia="Times New Roman" w:hAnsi="Calibri" w:cs="Calibri"/>
          <w:i/>
          <w:iCs/>
          <w:color w:val="000000"/>
          <w:lang w:eastAsia="en-GB"/>
        </w:rPr>
        <w:t>#1</w:t>
      </w:r>
      <w:r w:rsidRPr="00F027F1">
        <w:rPr>
          <w:rFonts w:ascii="Calibri" w:eastAsia="Times New Roman" w:hAnsi="Calibri" w:cs="Calibri"/>
          <w:i/>
          <w:iCs/>
          <w:color w:val="000000"/>
          <w:lang w:eastAsia="en-GB"/>
        </w:rPr>
        <w:t>: Number of component forecasts over time</w:t>
      </w:r>
      <w:r>
        <w:rPr>
          <w:rFonts w:ascii="Calibri" w:eastAsia="Times New Roman" w:hAnsi="Calibri" w:cs="Calibri"/>
          <w:i/>
          <w:iCs/>
          <w:color w:val="000000"/>
          <w:lang w:eastAsia="en-GB"/>
        </w:rPr>
        <w:t xml:space="preserve"> for each country, by target count and ensemble method (simple or weighted).</w:t>
      </w:r>
    </w:p>
    <w:p w14:paraId="7DB9A759"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We created forecasts over the period 2021-03-15 to 2021-08-23. For each week, we created six probabilistic ensemble forecasts of incident weekly case and death counts for 32 countries, forecasting over one through to four weeks (a combined 256 targets). This created 1532 evaluated ensembles, after removing 4 weeks of forecasts in countries reporting data anomalies.</w:t>
      </w:r>
    </w:p>
    <w:p w14:paraId="5655F4B8"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We collected forecasts from a total 29 modelling teams. Ensembles taking the simple averages (mean, median) of all forecasts for each week included between 5 and 18 component models over time. The weighted average ensembles used a stricter set of inclusion criteria, reducing the number of component models to between 5 and 17.</w:t>
      </w:r>
    </w:p>
    <w:p w14:paraId="3A9A2C8F"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noProof/>
          <w:color w:val="000000"/>
          <w:lang w:eastAsia="en-GB"/>
        </w:rPr>
        <w:drawing>
          <wp:inline distT="0" distB="0" distL="0" distR="0" wp14:anchorId="465D9E79" wp14:editId="10957488">
            <wp:extent cx="5334000" cy="2133600"/>
            <wp:effectExtent l="0" t="0" r="0" b="0"/>
            <wp:docPr id="2" name="Picture" descr="Figure #: Relative interval score compared to baseline forecast model (dashed line, 1), by ensemble method (mean or median, with weighted and weighted by horizon methods), target count (cases or deaths), and weeks ahead horizon (1 through 4). Boxplots show distribution of scores across locations, with anomalous ensemble performance (countries with much better or worse forecasts than average) shown as points."/>
            <wp:cNvGraphicFramePr/>
            <a:graphic xmlns:a="http://schemas.openxmlformats.org/drawingml/2006/main">
              <a:graphicData uri="http://schemas.openxmlformats.org/drawingml/2006/picture">
                <pic:pic xmlns:pic="http://schemas.openxmlformats.org/drawingml/2006/picture">
                  <pic:nvPicPr>
                    <pic:cNvPr id="0" name="Picture" descr="./figures/ensemble-relative-wis.png"/>
                    <pic:cNvPicPr>
                      <a:picLocks noChangeAspect="1" noChangeArrowheads="1"/>
                    </pic:cNvPicPr>
                  </pic:nvPicPr>
                  <pic:blipFill>
                    <a:blip r:embed="rId13"/>
                    <a:stretch>
                      <a:fillRect/>
                    </a:stretch>
                  </pic:blipFill>
                  <pic:spPr bwMode="auto">
                    <a:xfrm>
                      <a:off x="0" y="0"/>
                      <a:ext cx="5334000" cy="2133600"/>
                    </a:xfrm>
                    <a:prstGeom prst="rect">
                      <a:avLst/>
                    </a:prstGeom>
                    <a:noFill/>
                    <a:ln w="9525">
                      <a:noFill/>
                      <a:headEnd/>
                      <a:tailEnd/>
                    </a:ln>
                  </pic:spPr>
                </pic:pic>
              </a:graphicData>
            </a:graphic>
          </wp:inline>
        </w:drawing>
      </w:r>
    </w:p>
    <w:p w14:paraId="47AC2B23" w14:textId="4F1EF773" w:rsidR="00F027F1" w:rsidRPr="00F027F1" w:rsidRDefault="00F027F1" w:rsidP="00F027F1">
      <w:pPr>
        <w:spacing w:before="240" w:line="240" w:lineRule="auto"/>
        <w:jc w:val="both"/>
        <w:rPr>
          <w:rFonts w:ascii="Calibri" w:eastAsia="Times New Roman" w:hAnsi="Calibri" w:cs="Calibri"/>
          <w:i/>
          <w:iCs/>
          <w:color w:val="000000"/>
          <w:lang w:eastAsia="en-GB"/>
        </w:rPr>
      </w:pPr>
      <w:r w:rsidRPr="00F027F1">
        <w:rPr>
          <w:rFonts w:ascii="Calibri" w:eastAsia="Times New Roman" w:hAnsi="Calibri" w:cs="Calibri"/>
          <w:i/>
          <w:iCs/>
          <w:color w:val="000000"/>
          <w:lang w:eastAsia="en-GB"/>
        </w:rPr>
        <w:t xml:space="preserve">Figure </w:t>
      </w:r>
      <w:r w:rsidR="003E191B">
        <w:rPr>
          <w:rFonts w:ascii="Calibri" w:eastAsia="Times New Roman" w:hAnsi="Calibri" w:cs="Calibri"/>
          <w:i/>
          <w:iCs/>
          <w:color w:val="000000"/>
          <w:lang w:eastAsia="en-GB"/>
        </w:rPr>
        <w:t>#2</w:t>
      </w:r>
      <w:r w:rsidRPr="00F027F1">
        <w:rPr>
          <w:rFonts w:ascii="Calibri" w:eastAsia="Times New Roman" w:hAnsi="Calibri" w:cs="Calibri"/>
          <w:i/>
          <w:iCs/>
          <w:color w:val="000000"/>
          <w:lang w:eastAsia="en-GB"/>
        </w:rPr>
        <w:t>: Relative interval score compared to baseline forecast model (dashed line, 1), by ensemble method (mean or median, with weighted and weighted by horizon methods), target count (cases or deaths), and weeks ahead horizon (1 through 4). Boxplots show distribution of scores across locations, with anomalous ensemble performance (countries with much better or worse forecasts than average) shown as points.</w:t>
      </w:r>
    </w:p>
    <w:p w14:paraId="32FFB89B" w14:textId="77777777" w:rsidR="00F027F1" w:rsidRPr="00F027F1" w:rsidRDefault="00F027F1" w:rsidP="00F027F1">
      <w:pPr>
        <w:spacing w:before="240" w:line="240" w:lineRule="auto"/>
        <w:jc w:val="both"/>
        <w:rPr>
          <w:rFonts w:ascii="Calibri" w:eastAsia="Times New Roman" w:hAnsi="Calibri" w:cs="Calibri"/>
          <w:i/>
          <w:iCs/>
          <w:color w:val="000000"/>
          <w:lang w:eastAsia="en-GB"/>
        </w:rPr>
      </w:pPr>
      <w:bookmarkStart w:id="1" w:name="relative-performance-and-uncertainty"/>
      <w:r w:rsidRPr="00F027F1">
        <w:rPr>
          <w:rFonts w:ascii="Calibri" w:eastAsia="Times New Roman" w:hAnsi="Calibri" w:cs="Calibri"/>
          <w:i/>
          <w:iCs/>
          <w:color w:val="000000"/>
          <w:lang w:eastAsia="en-GB"/>
        </w:rPr>
        <w:t>Relative performance and uncertainty</w:t>
      </w:r>
    </w:p>
    <w:p w14:paraId="1759D273"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lastRenderedPageBreak/>
        <w:t>For the majority of forecast targets, ensembles performed better than the baseline. Of the 1532 combinations of the six ensemble methods each forecasting four weeks of case and death counts in 32 countries, 82% performed better than the baseline forecast model. Ensemble forecasts consistently performed better compared to the baseline model when forecasting incident deaths. With a total 766 targets for incident deaths, 96% ensembles outperformed the baseline model. This was 67% of the same number of case targets.</w:t>
      </w:r>
    </w:p>
    <w:p w14:paraId="6BEB4BD5" w14:textId="0602E905"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For all ensemble methods, the skill of ensemble forecasts varied from the near to further into the future, relative to the baseline model. For each model this was always a consistent trend in gradually improving or worsening skill over longer horizons. However</w:t>
      </w:r>
      <w:r w:rsidR="008D3218">
        <w:rPr>
          <w:rFonts w:ascii="Calibri" w:eastAsia="Times New Roman" w:hAnsi="Calibri" w:cs="Calibri"/>
          <w:color w:val="000000"/>
          <w:lang w:eastAsia="en-GB"/>
        </w:rPr>
        <w:t>,</w:t>
      </w:r>
      <w:r w:rsidRPr="00F027F1">
        <w:rPr>
          <w:rFonts w:ascii="Calibri" w:eastAsia="Times New Roman" w:hAnsi="Calibri" w:cs="Calibri"/>
          <w:color w:val="000000"/>
          <w:lang w:eastAsia="en-GB"/>
        </w:rPr>
        <w:t xml:space="preserve"> the direction of trend varied by the epidemiological target being forecast. Forecasting cases proved more difficult at longer forecast targets than shorter horizons,</w:t>
      </w:r>
      <w:r w:rsidR="008D3218">
        <w:rPr>
          <w:rFonts w:ascii="Calibri" w:eastAsia="Times New Roman" w:hAnsi="Calibri" w:cs="Calibri"/>
          <w:color w:val="000000"/>
          <w:lang w:eastAsia="en-GB"/>
        </w:rPr>
        <w:t xml:space="preserve"> while</w:t>
      </w:r>
      <w:r w:rsidRPr="00F027F1">
        <w:rPr>
          <w:rFonts w:ascii="Calibri" w:eastAsia="Times New Roman" w:hAnsi="Calibri" w:cs="Calibri"/>
          <w:color w:val="000000"/>
          <w:lang w:eastAsia="en-GB"/>
        </w:rPr>
        <w:t xml:space="preserve"> the relative skill of ensembles in forecasting incident deaths improved over longer horizons.</w:t>
      </w:r>
    </w:p>
    <w:p w14:paraId="3CC92436"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noProof/>
          <w:color w:val="000000"/>
          <w:lang w:eastAsia="en-GB"/>
        </w:rPr>
        <w:drawing>
          <wp:inline distT="0" distB="0" distL="0" distR="0" wp14:anchorId="50A44073" wp14:editId="48495AB6">
            <wp:extent cx="5334000" cy="2133600"/>
            <wp:effectExtent l="0" t="0" r="0" b="0"/>
            <wp:docPr id="3" name="Picture" descr="Figure #: Coverage: The proportion of observations that fell within the 50% prediction interval for each ensemble, by target count of cases and deaths and horizon. Ideally, a forecast model would achieve 50% coverage of 0.50 (meaning 50% of observations fall within the 50% prediction interval), shown as the vertical dotted line. Values of greater than 0.5 indicate that the forecasts are under-confident (prediction intervals are on average too wide), whereas values smaller than 0.5 indicate that the forecasts are overconfident (prediction intervals tend to be too narrow.)"/>
            <wp:cNvGraphicFramePr/>
            <a:graphic xmlns:a="http://schemas.openxmlformats.org/drawingml/2006/main">
              <a:graphicData uri="http://schemas.openxmlformats.org/drawingml/2006/picture">
                <pic:pic xmlns:pic="http://schemas.openxmlformats.org/drawingml/2006/picture">
                  <pic:nvPicPr>
                    <pic:cNvPr id="0" name="Picture" descr="./figures/ensemble-coverage.png"/>
                    <pic:cNvPicPr>
                      <a:picLocks noChangeAspect="1" noChangeArrowheads="1"/>
                    </pic:cNvPicPr>
                  </pic:nvPicPr>
                  <pic:blipFill>
                    <a:blip r:embed="rId14"/>
                    <a:stretch>
                      <a:fillRect/>
                    </a:stretch>
                  </pic:blipFill>
                  <pic:spPr bwMode="auto">
                    <a:xfrm>
                      <a:off x="0" y="0"/>
                      <a:ext cx="5334000" cy="2133600"/>
                    </a:xfrm>
                    <a:prstGeom prst="rect">
                      <a:avLst/>
                    </a:prstGeom>
                    <a:noFill/>
                    <a:ln w="9525">
                      <a:noFill/>
                      <a:headEnd/>
                      <a:tailEnd/>
                    </a:ln>
                  </pic:spPr>
                </pic:pic>
              </a:graphicData>
            </a:graphic>
          </wp:inline>
        </w:drawing>
      </w:r>
    </w:p>
    <w:p w14:paraId="0B7F12F2" w14:textId="7207CFCA" w:rsidR="00F027F1" w:rsidRPr="008D3218" w:rsidRDefault="00F027F1" w:rsidP="00F027F1">
      <w:pPr>
        <w:spacing w:before="240" w:line="240" w:lineRule="auto"/>
        <w:jc w:val="both"/>
        <w:rPr>
          <w:rFonts w:ascii="Calibri" w:eastAsia="Times New Roman" w:hAnsi="Calibri" w:cs="Calibri"/>
          <w:i/>
          <w:iCs/>
          <w:color w:val="000000"/>
          <w:lang w:eastAsia="en-GB"/>
        </w:rPr>
      </w:pPr>
      <w:r w:rsidRPr="008D3218">
        <w:rPr>
          <w:rFonts w:ascii="Calibri" w:eastAsia="Times New Roman" w:hAnsi="Calibri" w:cs="Calibri"/>
          <w:i/>
          <w:iCs/>
          <w:color w:val="000000"/>
          <w:lang w:eastAsia="en-GB"/>
        </w:rPr>
        <w:t xml:space="preserve">Figure </w:t>
      </w:r>
      <w:r w:rsidR="003E191B">
        <w:rPr>
          <w:rFonts w:ascii="Calibri" w:eastAsia="Times New Roman" w:hAnsi="Calibri" w:cs="Calibri"/>
          <w:i/>
          <w:iCs/>
          <w:color w:val="000000"/>
          <w:lang w:eastAsia="en-GB"/>
        </w:rPr>
        <w:t>#3</w:t>
      </w:r>
      <w:r w:rsidRPr="008D3218">
        <w:rPr>
          <w:rFonts w:ascii="Calibri" w:eastAsia="Times New Roman" w:hAnsi="Calibri" w:cs="Calibri"/>
          <w:i/>
          <w:iCs/>
          <w:color w:val="000000"/>
          <w:lang w:eastAsia="en-GB"/>
        </w:rPr>
        <w:t>: Coverage: The proportion of observations that fell within the 50% prediction interval for each ensemble, by target count of cases and deaths and horizon. Ideally, a forecast model would achieve 50% coverage of 0.50 (meaning 50% of observations fall within the 50% prediction interval), shown as the vertical dotted line. Values of greater than 0.5 indicate that the forecasts are under-confident (prediction intervals are on average too wide), whereas values smaller than 0.5 indicate that the forecasts are overconfident (prediction intervals tend to be too narrow.)</w:t>
      </w:r>
    </w:p>
    <w:p w14:paraId="250693E6" w14:textId="30BB707E"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 xml:space="preserve">When forecasting deaths, ensembles of any model across all horizons typically gave too broad a range of uncertainty (figure </w:t>
      </w:r>
      <w:r w:rsidR="003E191B">
        <w:rPr>
          <w:rFonts w:ascii="Calibri" w:eastAsia="Times New Roman" w:hAnsi="Calibri" w:cs="Calibri"/>
          <w:color w:val="000000"/>
          <w:lang w:eastAsia="en-GB"/>
        </w:rPr>
        <w:t>#3</w:t>
      </w:r>
      <w:r w:rsidRPr="00F027F1">
        <w:rPr>
          <w:rFonts w:ascii="Calibri" w:eastAsia="Times New Roman" w:hAnsi="Calibri" w:cs="Calibri"/>
          <w:color w:val="000000"/>
          <w:lang w:eastAsia="en-GB"/>
        </w:rPr>
        <w:t>). This was also true when forecasting case counts at the one-week ahead horizon for both mean and median varieties of ensemble.</w:t>
      </w:r>
    </w:p>
    <w:p w14:paraId="0864AB0F" w14:textId="76141A0F"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 xml:space="preserve">For both targets, the problem of underconfident prediction intervals reduced over longer horizons. This only improved forecasts of incident deaths, with the coverage of the 50% prediction interval the most accurate at four weeks. </w:t>
      </w:r>
      <w:r w:rsidR="008D3218" w:rsidRPr="00F027F1">
        <w:rPr>
          <w:rFonts w:ascii="Calibri" w:eastAsia="Times New Roman" w:hAnsi="Calibri" w:cs="Calibri"/>
          <w:color w:val="000000"/>
          <w:lang w:eastAsia="en-GB"/>
        </w:rPr>
        <w:t>However,</w:t>
      </w:r>
      <w:r w:rsidRPr="00F027F1">
        <w:rPr>
          <w:rFonts w:ascii="Calibri" w:eastAsia="Times New Roman" w:hAnsi="Calibri" w:cs="Calibri"/>
          <w:color w:val="000000"/>
          <w:lang w:eastAsia="en-GB"/>
        </w:rPr>
        <w:t xml:space="preserve"> case forecasts became overconfident in nearly all locations by the three and four week horizon</w:t>
      </w:r>
      <w:r w:rsidR="008D3218">
        <w:rPr>
          <w:rFonts w:ascii="Calibri" w:eastAsia="Times New Roman" w:hAnsi="Calibri" w:cs="Calibri"/>
          <w:color w:val="000000"/>
          <w:lang w:eastAsia="en-GB"/>
        </w:rPr>
        <w:t>s</w:t>
      </w:r>
      <w:r w:rsidRPr="00F027F1">
        <w:rPr>
          <w:rFonts w:ascii="Calibri" w:eastAsia="Times New Roman" w:hAnsi="Calibri" w:cs="Calibri"/>
          <w:color w:val="000000"/>
          <w:lang w:eastAsia="en-GB"/>
        </w:rPr>
        <w:t>.</w:t>
      </w:r>
    </w:p>
    <w:p w14:paraId="19032363" w14:textId="77777777" w:rsidR="00F027F1" w:rsidRPr="00F027F1" w:rsidRDefault="00F027F1" w:rsidP="00F027F1">
      <w:pPr>
        <w:spacing w:before="240" w:line="240" w:lineRule="auto"/>
        <w:jc w:val="both"/>
        <w:rPr>
          <w:rFonts w:ascii="Calibri" w:eastAsia="Times New Roman" w:hAnsi="Calibri" w:cs="Calibri"/>
          <w:i/>
          <w:iCs/>
          <w:color w:val="000000"/>
          <w:lang w:eastAsia="en-GB"/>
        </w:rPr>
      </w:pPr>
      <w:bookmarkStart w:id="2" w:name="averaging-methods"/>
      <w:bookmarkEnd w:id="1"/>
      <w:r w:rsidRPr="00F027F1">
        <w:rPr>
          <w:rFonts w:ascii="Calibri" w:eastAsia="Times New Roman" w:hAnsi="Calibri" w:cs="Calibri"/>
          <w:i/>
          <w:iCs/>
          <w:color w:val="000000"/>
          <w:lang w:eastAsia="en-GB"/>
        </w:rPr>
        <w:t>Averaging methods</w:t>
      </w:r>
    </w:p>
    <w:p w14:paraId="287144A3"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Ensemble forecasts that used any form of median outperformed the baseline model across all horizons and for each of 32 locations. The 766 ensembles using a median outperformed the baseline for 85% targets. Ensembles using the mean were less consistent in performance across countries, while still outperforming the baseline for 79% targets.</w:t>
      </w:r>
    </w:p>
    <w:p w14:paraId="1C62F97C"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 xml:space="preserve">Forecasts for Iceland were a notable outlier, where mean forecasts failed to accurately forecast regardless of the type of mean ensemble used. This includes the worst of any ensemble performance, </w:t>
      </w:r>
      <w:r w:rsidRPr="00F027F1">
        <w:rPr>
          <w:rFonts w:ascii="Calibri" w:eastAsia="Times New Roman" w:hAnsi="Calibri" w:cs="Calibri"/>
          <w:color w:val="000000"/>
          <w:lang w:eastAsia="en-GB"/>
        </w:rPr>
        <w:lastRenderedPageBreak/>
        <w:t>where the simple mean of forecasts for incident deaths in Iceland at three weeks ahead performed over seven times worse than the baseline forecast.</w:t>
      </w:r>
    </w:p>
    <w:p w14:paraId="1C09BC7A" w14:textId="77777777" w:rsidR="00F027F1" w:rsidRPr="00F027F1" w:rsidRDefault="00F027F1" w:rsidP="00F027F1">
      <w:pPr>
        <w:spacing w:before="240" w:line="240" w:lineRule="auto"/>
        <w:jc w:val="both"/>
        <w:rPr>
          <w:rFonts w:ascii="Calibri" w:eastAsia="Times New Roman" w:hAnsi="Calibri" w:cs="Calibri"/>
          <w:i/>
          <w:iCs/>
          <w:color w:val="000000"/>
          <w:lang w:eastAsia="en-GB"/>
        </w:rPr>
      </w:pPr>
      <w:bookmarkStart w:id="3" w:name="weighting-methods"/>
      <w:bookmarkEnd w:id="2"/>
      <w:r w:rsidRPr="00F027F1">
        <w:rPr>
          <w:rFonts w:ascii="Calibri" w:eastAsia="Times New Roman" w:hAnsi="Calibri" w:cs="Calibri"/>
          <w:i/>
          <w:iCs/>
          <w:color w:val="000000"/>
          <w:lang w:eastAsia="en-GB"/>
        </w:rPr>
        <w:t>Weighting methods</w:t>
      </w:r>
    </w:p>
    <w:p w14:paraId="3C90512A"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noProof/>
          <w:color w:val="000000"/>
          <w:lang w:eastAsia="en-GB"/>
        </w:rPr>
        <w:drawing>
          <wp:inline distT="0" distB="0" distL="0" distR="0" wp14:anchorId="4129D747" wp14:editId="7D348C7D">
            <wp:extent cx="5334000" cy="2667000"/>
            <wp:effectExtent l="0" t="0" r="0" b="0"/>
            <wp:docPr id="4" name="Picture" descr="Figure #: Change in model contribution of each model to ensemble forecasts: difference from weighting in a simple ensemble (dashed line, 0), to weighted by relative skill (averaged across all horizons), by target. Boxplot distribution represents average difference in model weight for each country, where data above the dashed line indicates that the model weight increased, and with anomalous differences shown as points."/>
            <wp:cNvGraphicFramePr/>
            <a:graphic xmlns:a="http://schemas.openxmlformats.org/drawingml/2006/main">
              <a:graphicData uri="http://schemas.openxmlformats.org/drawingml/2006/picture">
                <pic:pic xmlns:pic="http://schemas.openxmlformats.org/drawingml/2006/picture">
                  <pic:nvPicPr>
                    <pic:cNvPr id="0" name="Picture" descr="figures/weights-simple-to-weighted.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07867E9F" w14:textId="2D234D4E" w:rsidR="00F027F1" w:rsidRPr="00F027F1" w:rsidRDefault="00F027F1" w:rsidP="00F027F1">
      <w:pPr>
        <w:spacing w:before="240" w:line="240" w:lineRule="auto"/>
        <w:jc w:val="both"/>
        <w:rPr>
          <w:rFonts w:ascii="Calibri" w:eastAsia="Times New Roman" w:hAnsi="Calibri" w:cs="Calibri"/>
          <w:i/>
          <w:iCs/>
          <w:color w:val="000000"/>
          <w:lang w:eastAsia="en-GB"/>
        </w:rPr>
      </w:pPr>
      <w:r w:rsidRPr="00F027F1">
        <w:rPr>
          <w:rFonts w:ascii="Calibri" w:eastAsia="Times New Roman" w:hAnsi="Calibri" w:cs="Calibri"/>
          <w:i/>
          <w:iCs/>
          <w:color w:val="000000"/>
          <w:lang w:eastAsia="en-GB"/>
        </w:rPr>
        <w:t>Figure #</w:t>
      </w:r>
      <w:r w:rsidR="003E191B">
        <w:rPr>
          <w:rFonts w:ascii="Calibri" w:eastAsia="Times New Roman" w:hAnsi="Calibri" w:cs="Calibri"/>
          <w:i/>
          <w:iCs/>
          <w:color w:val="000000"/>
          <w:lang w:eastAsia="en-GB"/>
        </w:rPr>
        <w:t>4</w:t>
      </w:r>
      <w:r w:rsidRPr="00F027F1">
        <w:rPr>
          <w:rFonts w:ascii="Calibri" w:eastAsia="Times New Roman" w:hAnsi="Calibri" w:cs="Calibri"/>
          <w:i/>
          <w:iCs/>
          <w:color w:val="000000"/>
          <w:lang w:eastAsia="en-GB"/>
        </w:rPr>
        <w:t>: Change in model contribution of each model to ensemble forecasts: difference from weighting in a simple ensemble (dashed line, 0), to weighted by relative skill (averaged across all horizons), by target. Boxplot distribution represents average difference in model weight for each country, where data above the dashed line indicates that the model weight increased, and with anomalous differences shown as points.</w:t>
      </w:r>
    </w:p>
    <w:p w14:paraId="4DB43C61" w14:textId="3E5975FD"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Weighting by skill created substantial differences in the contribution of individual models compared to weighting all models equally (figure #</w:t>
      </w:r>
      <w:r w:rsidR="003E191B">
        <w:rPr>
          <w:rFonts w:ascii="Calibri" w:eastAsia="Times New Roman" w:hAnsi="Calibri" w:cs="Calibri"/>
          <w:color w:val="000000"/>
          <w:lang w:eastAsia="en-GB"/>
        </w:rPr>
        <w:t>4</w:t>
      </w:r>
      <w:r w:rsidRPr="00F027F1">
        <w:rPr>
          <w:rFonts w:ascii="Calibri" w:eastAsia="Times New Roman" w:hAnsi="Calibri" w:cs="Calibri"/>
          <w:color w:val="000000"/>
          <w:lang w:eastAsia="en-GB"/>
        </w:rPr>
        <w:t>), and these differences varied by target and over time (for more on relative performance of individual models, see forecast report). However, weighting by skill had relatively little impact on the performance of ensembles compared to simple equal weights. Of 256 targets, there was no greater than 2% difference in the number of ensemble forecasts that outperformed the baseline, between ensembles weighted by skill on average, by horizon, or a simple average for each of the mean and median approaches.</w:t>
      </w:r>
    </w:p>
    <w:bookmarkEnd w:id="0"/>
    <w:bookmarkEnd w:id="3"/>
    <w:p w14:paraId="73F01E53"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b/>
          <w:bCs/>
          <w:color w:val="000000"/>
          <w:lang w:eastAsia="en-GB"/>
        </w:rPr>
        <w:t>Discussion</w:t>
      </w:r>
    </w:p>
    <w:p w14:paraId="02889587" w14:textId="2C93C955" w:rsidR="00ED5557" w:rsidRPr="00340541" w:rsidRDefault="00B75392" w:rsidP="00F027F1">
      <w:pPr>
        <w:spacing w:before="240" w:after="200" w:line="240" w:lineRule="auto"/>
        <w:jc w:val="both"/>
        <w:rPr>
          <w:rFonts w:ascii="Calibri" w:eastAsia="Times New Roman" w:hAnsi="Calibri" w:cs="Calibri"/>
          <w:color w:val="000000"/>
          <w:lang w:eastAsia="en-GB"/>
        </w:rPr>
      </w:pPr>
      <w:r w:rsidRPr="00B75392">
        <w:rPr>
          <w:rFonts w:ascii="Calibri" w:eastAsia="Times New Roman" w:hAnsi="Calibri" w:cs="Calibri"/>
          <w:color w:val="000000"/>
          <w:lang w:eastAsia="en-GB"/>
        </w:rPr>
        <w:t>We explored the combination of individual forecasts into an ensemble forecast for incident cases and deaths due to COVID-19 across 32 European countries</w:t>
      </w:r>
      <w:r w:rsidR="00241D66" w:rsidRPr="00241D66">
        <w:rPr>
          <w:rFonts w:ascii="Calibri" w:eastAsia="Times New Roman" w:hAnsi="Calibri" w:cs="Calibri"/>
          <w:color w:val="000000"/>
          <w:lang w:eastAsia="en-GB"/>
        </w:rPr>
        <w:t xml:space="preserve"> </w:t>
      </w:r>
      <w:r w:rsidR="00241D66">
        <w:rPr>
          <w:rFonts w:ascii="Calibri" w:eastAsia="Times New Roman" w:hAnsi="Calibri" w:cs="Calibri"/>
          <w:color w:val="000000"/>
          <w:lang w:eastAsia="en-GB"/>
        </w:rPr>
        <w:t>o</w:t>
      </w:r>
      <w:r w:rsidR="00241D66" w:rsidRPr="00B75392">
        <w:rPr>
          <w:rFonts w:ascii="Calibri" w:eastAsia="Times New Roman" w:hAnsi="Calibri" w:cs="Calibri"/>
          <w:color w:val="000000"/>
          <w:lang w:eastAsia="en-GB"/>
        </w:rPr>
        <w:t>ver March to August 2021</w:t>
      </w:r>
      <w:r w:rsidRPr="00B75392">
        <w:rPr>
          <w:rFonts w:ascii="Calibri" w:eastAsia="Times New Roman" w:hAnsi="Calibri" w:cs="Calibri"/>
          <w:color w:val="000000"/>
          <w:lang w:eastAsia="en-GB"/>
        </w:rPr>
        <w:t xml:space="preserve">. </w:t>
      </w:r>
      <w:r w:rsidR="00340541">
        <w:rPr>
          <w:rFonts w:ascii="Calibri" w:eastAsia="Times New Roman" w:hAnsi="Calibri" w:cs="Calibri"/>
          <w:color w:val="000000"/>
          <w:lang w:eastAsia="en-GB"/>
        </w:rPr>
        <w:t xml:space="preserve">Of 1536 possible ensemble forecasts we only excluded four forecast targets, indicating the value of evaluating against a cross-country national level dataset. </w:t>
      </w:r>
      <w:r w:rsidRPr="00B75392">
        <w:rPr>
          <w:rFonts w:ascii="Calibri" w:eastAsia="Times New Roman" w:hAnsi="Calibri" w:cs="Calibri"/>
          <w:color w:val="000000"/>
          <w:lang w:eastAsia="en-GB"/>
        </w:rPr>
        <w:t>We used variations on methods for weighting the ensemble (as equal weights or weighted by component forecasts’ relative skill), and for combining into an average (as mean or median average across each quantile prediction).</w:t>
      </w:r>
      <w:r w:rsidR="00241D66">
        <w:rPr>
          <w:rFonts w:ascii="Calibri" w:eastAsia="Times New Roman" w:hAnsi="Calibri" w:cs="Calibri"/>
          <w:color w:val="000000"/>
          <w:lang w:eastAsia="en-GB"/>
        </w:rPr>
        <w:t xml:space="preserve"> We found that e</w:t>
      </w:r>
      <w:r w:rsidRPr="00B75392">
        <w:rPr>
          <w:rFonts w:ascii="Calibri" w:eastAsia="Times New Roman" w:hAnsi="Calibri" w:cs="Calibri"/>
          <w:color w:val="000000"/>
          <w:lang w:eastAsia="en-GB"/>
        </w:rPr>
        <w:t>nsemble forecasts overall performed better than a simple baseline forecast</w:t>
      </w:r>
      <w:r w:rsidR="00241D66">
        <w:rPr>
          <w:rFonts w:ascii="Calibri" w:eastAsia="Times New Roman" w:hAnsi="Calibri" w:cs="Calibri"/>
          <w:color w:val="000000"/>
          <w:lang w:eastAsia="en-GB"/>
        </w:rPr>
        <w:t>.</w:t>
      </w:r>
    </w:p>
    <w:p w14:paraId="180D4B54" w14:textId="77777777" w:rsidR="00241D66" w:rsidRDefault="00241D66" w:rsidP="00241D66">
      <w:pPr>
        <w:spacing w:before="240" w:after="20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Ensemble forecasts for incident death counts had consistently better performance than forecasts of case counts. We also noted that performance improved at longer horizons for death forecasts of any ensemble method, while performance worsened over time for case forecasts. This suggests that even while ensemble forecasts at short time horizons are useful for predicting both cases and deaths, the greatest value of ensemble forecasting is in providing the most accurate forecast for deaths over long time periods. </w:t>
      </w:r>
    </w:p>
    <w:p w14:paraId="510F9A86" w14:textId="059FC9D7" w:rsidR="00241D66" w:rsidRDefault="00241D66" w:rsidP="00241D66">
      <w:pPr>
        <w:spacing w:before="240" w:after="20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lastRenderedPageBreak/>
        <w:t>U</w:t>
      </w:r>
      <w:r w:rsidRPr="00B75392">
        <w:rPr>
          <w:rFonts w:ascii="Calibri" w:eastAsia="Times New Roman" w:hAnsi="Calibri" w:cs="Calibri"/>
          <w:color w:val="000000"/>
          <w:lang w:eastAsia="en-GB"/>
        </w:rPr>
        <w:t>sing any form of median forecast was nearly always the most accurate choice of ensemble method.</w:t>
      </w:r>
      <w:r>
        <w:rPr>
          <w:rFonts w:ascii="Calibri" w:eastAsia="Times New Roman" w:hAnsi="Calibri" w:cs="Calibri"/>
          <w:color w:val="000000"/>
          <w:lang w:eastAsia="en-GB"/>
        </w:rPr>
        <w:t xml:space="preserve"> </w:t>
      </w:r>
      <w:r w:rsidRPr="00B75392">
        <w:rPr>
          <w:rFonts w:ascii="Calibri" w:eastAsia="Times New Roman" w:hAnsi="Calibri" w:cs="Calibri"/>
          <w:color w:val="000000"/>
          <w:lang w:eastAsia="en-GB"/>
        </w:rPr>
        <w:t xml:space="preserve">This compares to previous ensembles of </w:t>
      </w:r>
      <w:r>
        <w:rPr>
          <w:rFonts w:ascii="Calibri" w:eastAsia="Times New Roman" w:hAnsi="Calibri" w:cs="Calibri"/>
          <w:color w:val="000000"/>
          <w:lang w:eastAsia="en-GB"/>
        </w:rPr>
        <w:t xml:space="preserve">standardised </w:t>
      </w:r>
      <w:r w:rsidRPr="00B75392">
        <w:rPr>
          <w:rFonts w:ascii="Calibri" w:eastAsia="Times New Roman" w:hAnsi="Calibri" w:cs="Calibri"/>
          <w:color w:val="000000"/>
          <w:lang w:eastAsia="en-GB"/>
        </w:rPr>
        <w:t>epidemiological forecasts</w:t>
      </w:r>
      <w:r>
        <w:rPr>
          <w:rFonts w:ascii="Calibri" w:eastAsia="Times New Roman" w:hAnsi="Calibri" w:cs="Calibri"/>
          <w:color w:val="000000"/>
          <w:lang w:eastAsia="en-GB"/>
        </w:rPr>
        <w:t xml:space="preserve"> from individual modelling teams</w:t>
      </w:r>
      <w:r w:rsidRPr="00B75392">
        <w:rPr>
          <w:rFonts w:ascii="Calibri" w:eastAsia="Times New Roman" w:hAnsi="Calibri" w:cs="Calibri"/>
          <w:color w:val="000000"/>
          <w:lang w:eastAsia="en-GB"/>
        </w:rPr>
        <w:t>.</w:t>
      </w:r>
      <w:r>
        <w:rPr>
          <w:rFonts w:ascii="Calibri" w:eastAsia="Times New Roman" w:hAnsi="Calibri" w:cs="Calibri"/>
          <w:color w:val="000000"/>
          <w:lang w:eastAsia="en-GB"/>
        </w:rPr>
        <w:t xml:space="preserve"> </w:t>
      </w:r>
      <w:r w:rsidRPr="00B75392">
        <w:rPr>
          <w:rFonts w:ascii="Calibri" w:eastAsia="Times New Roman" w:hAnsi="Calibri" w:cs="Calibri"/>
          <w:color w:val="000000"/>
          <w:lang w:eastAsia="en-GB"/>
        </w:rPr>
        <w:t xml:space="preserve">Ray </w:t>
      </w:r>
      <w:r w:rsidR="00AF20A9">
        <w:rPr>
          <w:rFonts w:ascii="Calibri" w:eastAsia="Times New Roman" w:hAnsi="Calibri" w:cs="Calibri"/>
          <w:color w:val="000000"/>
          <w:lang w:eastAsia="en-GB"/>
        </w:rPr>
        <w:t>and others</w:t>
      </w:r>
      <w:r w:rsidRPr="00B75392">
        <w:rPr>
          <w:rFonts w:ascii="Calibri" w:eastAsia="Times New Roman" w:hAnsi="Calibri" w:cs="Calibri"/>
          <w:color w:val="000000"/>
          <w:lang w:eastAsia="en-GB"/>
        </w:rPr>
        <w:t> explored three methods to combine forecasts of COVID-19 reported deaths in US states</w:t>
      </w:r>
      <w:r w:rsidR="00AF20A9">
        <w:rPr>
          <w:rFonts w:ascii="Calibri" w:eastAsia="Times New Roman" w:hAnsi="Calibri" w:cs="Calibri"/>
          <w:color w:val="000000"/>
          <w:lang w:eastAsia="en-GB"/>
        </w:rPr>
        <w:t xml:space="preserve"> </w:t>
      </w:r>
      <w:hyperlink r:id="rId16" w:history="1">
        <w:r w:rsidR="00510DFD" w:rsidRPr="00510DFD">
          <w:rPr>
            <w:rStyle w:val="Hyperlink"/>
            <w:rFonts w:ascii="Calibri" w:hAnsi="Calibri" w:cs="Calibri"/>
          </w:rPr>
          <w:t>ITEM CSL_CITATION {"citationID":"954uGrHl","properties":{"formattedCitation":"[6]","plainCitation":"[6]","noteIndex":0},"citationItems":[{"id":1261,"uris":["http://zotero.org/users/5456110/items/Q6REWH35"],"uri":["http://zotero.org/users/5456110/items/Q6REWH35"],"itemData":{"id":1261,"type":"article-journal","abstract":"&lt;p&gt;Background The COVID-19 pandemic has driven demand for forecasts to guide policy and planning. Previous research has suggested that combining forecasts from multiple models into a single \"ensemble\" forecast can increase the robustness of forecasts. Here we evaluate the real-time application of an open, collaborative ensemble to forecast deaths attributable to COVID-19 in the U.S. Methods Beginning on April 13, 2020, we collected and combined one- to four-week ahead forecasts of cumulative deaths for U.S. jurisdictions in standardized, probabilistic formats to generate real-time, publicly available ensemble forecasts. We evaluated the point prediction accuracy and calibration of these forecasts compared to reported deaths. Results Analysis of 2,512 ensemble forecasts made April 27 to July 20 with outcomes observed in the weeks ending May 23 through July 25, 2020 revealed precise short-term forecasts, with accuracy deteriorating at longer prediction horizons of up to four weeks. At all prediction horizons, the prediction intervals were well calibrated with 92-96% of observations falling within the rounded 95% prediction intervals. Conclusions This analysis demonstrates that real-time, publicly available ensemble forecasts issued in April-July 2020 provided robust short-term predictions of reported COVID-19 deaths in the United States. With the ongoing need for forecasts of impacts and resource needs for the COVID-19 response, the results underscore the importance of combining multiple probabilistic models and assessing forecast skill at different prediction horizons. Careful development, assessment, and communication of ensemble forecasts can provide reliable insight to public health decision makers.&lt;/p&gt;","container-title":"medRxiv","DOI":"10.1101/2020.08.19.20177493","language":"en","note":"publisher: Cold Spring Harbor Laboratory Press","page":"2020.08.19.20177493","source":"www.medrxiv.org","title":"Ensemble Forecasts of Coronavirus Disease 2019 (COVID-19) in the U.S.","author":[{"family":"Ray","given":"Evan L."},{"family":"Wattanachit","given":"Nutcha"},{"family":"Niemi","given":"Jarad"},{"family":"Kanji","given":"Abdul Hannan"},{"family":"House","given":"Katie"},{"family":"Cramer","given":"Estee Y."},{"family":"Bracher","given":"Johannes"},{"family":"Zheng","given":"Andrew"},{"family":"Yamana","given":"Teresa K."},{"family":"Xiong","given":"Xinyue"},{"family":"Woody","given":"Spencer"},{"family":"Wang","given":"Yuanjia"},{"family":"Wang","given":"Lily"},{"family":"Walraven","given":"Robert L."},{"family":"Tomar","given":"Vishal"},{"family":"Sherratt","given":"Katherine"},{"family":"Sheldon","given":"Daniel"},{"family":"Reiner","given":"Robert C."},{"family":"Prakash","given":"B. Aditya"},{"family":"Osthus","given":"Dave"},{"family":"Li","given":"Michael Lingzhi"},{"family":"Lee","given":"Elizabeth C."},{"family":"Koyluoglu","given":"Ugur"},{"family":"Keskinocak","given":"Pinar"},{"family":"Gu","given":"Youyang"},{"family":"Gu","given":"Quanquan"},{"family":"George","given":"Glover E."},{"family":"España","given":"Guido"},{"family":"Corsetti","given":"Sabrina"},{"family":"Chhatwal","given":"Jagpreet"},{"family":"Cavany","given":"Sean"},{"family":"Biegel","given":"Hannah"},{"family":"Ben-Nun","given":"Michal"},{"family":"Walker","given":"Jo"},{"family":"Slayton","given":"Rachel"},{"family":"Lopez","given":"Velma"},{"family":"Biggerstaff","given":"Matthew"},{"family":"Johansson","given":"Michael A."},{"family":"Reich","given":"Nicholas G."},{"family":"Consortium","given":"COVID-19 Forecast Hub"}],"issued":{"date-parts":[["2020",8,22]]}}}],"schema":"https://github.com/citation-style-language/schema/raw/master/csl-citation.json"}</w:t>
        </w:r>
      </w:hyperlink>
      <w:r w:rsidRPr="00B75392">
        <w:rPr>
          <w:rFonts w:ascii="Calibri" w:eastAsia="Times New Roman" w:hAnsi="Calibri" w:cs="Calibri"/>
          <w:color w:val="000000"/>
          <w:lang w:eastAsia="en-GB"/>
        </w:rPr>
        <w:t>. Using a simple mean, simple median, trained (weighted) mean (over the full history and over a 4 week window), they found the trained mean performs similarly to the simple median, and both outperformed the simple mean. </w:t>
      </w:r>
    </w:p>
    <w:p w14:paraId="0F4AECB1" w14:textId="4A7BD57C" w:rsidR="00ED5557" w:rsidRDefault="00ED5557" w:rsidP="00F027F1">
      <w:pPr>
        <w:spacing w:before="240" w:after="20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Ensembles using weights based on past performance may be biased depending on the assessment of past performance. This is likely if performance is compared between models forecasting for different targets. To avoid this, we used the interval score, combining forecast sharpness in a pairwise comparison, further scaled against a flat-line baseline forecast. This meant that models were compared on equivalent targets and against a clear benchmark. </w:t>
      </w:r>
    </w:p>
    <w:p w14:paraId="79724F1F" w14:textId="22D7CF1F" w:rsidR="001271E9" w:rsidRPr="00B75392" w:rsidRDefault="001271E9" w:rsidP="001271E9">
      <w:pPr>
        <w:spacing w:before="240" w:after="200" w:line="240" w:lineRule="auto"/>
        <w:jc w:val="both"/>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One area of bias in model weights</w:t>
      </w:r>
      <w:r>
        <w:rPr>
          <w:rFonts w:ascii="Calibri" w:eastAsia="Times New Roman" w:hAnsi="Calibri" w:cs="Calibri"/>
          <w:color w:val="000000"/>
          <w:lang w:eastAsia="en-GB"/>
        </w:rPr>
        <w:t xml:space="preserve"> could be influenced by epidemic dynamics in Europe over the study period of March to August 2021. Forecast models of incident cases had to adapt where </w:t>
      </w:r>
      <w:r w:rsidR="00AF20A9">
        <w:rPr>
          <w:rFonts w:ascii="Calibri" w:eastAsia="Times New Roman" w:hAnsi="Calibri" w:cs="Calibri"/>
          <w:color w:val="000000"/>
          <w:lang w:eastAsia="en-GB"/>
        </w:rPr>
        <w:t xml:space="preserve">the </w:t>
      </w:r>
      <w:r w:rsidR="00AF20A9" w:rsidRPr="00AF20A9">
        <w:rPr>
          <w:rFonts w:ascii="Calibri" w:eastAsia="Times New Roman" w:hAnsi="Calibri" w:cs="Calibri"/>
          <w:color w:val="000000"/>
          <w:lang w:eastAsia="en-GB"/>
        </w:rPr>
        <w:t>B.1.617.2 (delta)</w:t>
      </w:r>
      <w:r>
        <w:rPr>
          <w:rFonts w:ascii="Calibri" w:eastAsia="Times New Roman" w:hAnsi="Calibri" w:cs="Calibri"/>
          <w:color w:val="000000"/>
          <w:lang w:eastAsia="en-GB"/>
        </w:rPr>
        <w:t xml:space="preserve"> variant overtook the existing </w:t>
      </w:r>
      <w:r w:rsidR="0029002D">
        <w:rPr>
          <w:rFonts w:ascii="Calibri" w:eastAsia="Times New Roman" w:hAnsi="Calibri" w:cs="Calibri"/>
          <w:color w:val="000000"/>
          <w:lang w:eastAsia="en-GB"/>
        </w:rPr>
        <w:t xml:space="preserve">SARS-CoV-2 </w:t>
      </w:r>
      <w:r w:rsidR="00AF20A9">
        <w:rPr>
          <w:rFonts w:ascii="Calibri" w:eastAsia="Times New Roman" w:hAnsi="Calibri" w:cs="Calibri"/>
          <w:color w:val="000000"/>
          <w:lang w:eastAsia="en-GB"/>
        </w:rPr>
        <w:t xml:space="preserve">viral </w:t>
      </w:r>
      <w:r>
        <w:rPr>
          <w:rFonts w:ascii="Calibri" w:eastAsia="Times New Roman" w:hAnsi="Calibri" w:cs="Calibri"/>
          <w:color w:val="000000"/>
          <w:lang w:eastAsia="en-GB"/>
        </w:rPr>
        <w:t xml:space="preserve">strain in driving new cases, with likely increased transmissibility and a shorter generation time </w:t>
      </w:r>
      <w:hyperlink r:id="rId17" w:history="1">
        <w:r w:rsidR="00510DFD" w:rsidRPr="00510DFD">
          <w:rPr>
            <w:rStyle w:val="Hyperlink"/>
            <w:rFonts w:ascii="Calibri" w:hAnsi="Calibri" w:cs="Calibri"/>
          </w:rPr>
          <w:t>ITEM CSL_CITATION {"citationID":"ByV6eUkQ","properties":{"formattedCitation":"[9]","plainCitation":"[9]","noteIndex":0},"citationItems":[{"id":1569,"uris":["http://zotero.org/users/5456110/items/4PICXZRW"],"uri":["http://zotero.org/users/5456110/items/4PICXZRW"],"itemData":{"id":1569,"type":"article-journal","container-title":"New England Journal of Medicine","DOI":"10.1056/NEJMoa2108891","ISSN":"0028-4793","issue":"7","note":"publisher: Massachusetts Medical Society\n_eprint: https://doi.org/10.1056/NEJMoa2108891\nPMID: 34289274","page":"585-594","source":"Taylor and Francis+NEJM","title":"Effectiveness of Covid-19 Vaccines against the B.1.617.2 (Delta) Variant","volume":"385","author":[{"family":"Lopez Bernal","given":"Jamie"},{"family":"Andrews","given":"Nick"},{"family":"Gower","given":"Charlotte"},{"family":"Gallagher","given":"Eileen"},{"family":"Simmons","given":"Ruth"},{"family":"Thelwall","given":"Simon"},{"family":"Stowe","given":"Julia"},{"family":"Tessier","given":"Elise"},{"family":"Groves","given":"Natalie"},{"family":"Dabrera","given":"Gavin"},{"family":"Myers","given":"Richard"},{"family":"Campbell","given":"Colin N.J."},{"family":"Amirthalingam","given":"Gayatri"},{"family":"Edmunds","given":"Matt"},{"family":"Zambon","given":"Maria"},{"family":"Brown","given":"Kevin E."},{"family":"Hopkins","given":"Susan"},{"family":"Chand","given":"Meera"},{"family":"Ramsay","given":"Mary"}],"issued":{"date-parts":[["2021",8,12]]}}}],"schema":"https://github.com/citation-style-language/schema/raw/master/csl-citation.json"}</w:t>
        </w:r>
      </w:hyperlink>
      <w:r>
        <w:rPr>
          <w:rFonts w:ascii="Calibri" w:eastAsia="Times New Roman" w:hAnsi="Calibri" w:cs="Calibri"/>
          <w:color w:val="000000"/>
          <w:lang w:eastAsia="en-GB"/>
        </w:rPr>
        <w:t xml:space="preserve">. Meanwhile, the introduction of </w:t>
      </w:r>
      <w:r w:rsidR="0029002D">
        <w:rPr>
          <w:rFonts w:ascii="Calibri" w:eastAsia="Times New Roman" w:hAnsi="Calibri" w:cs="Calibri"/>
          <w:color w:val="000000"/>
          <w:lang w:eastAsia="en-GB"/>
        </w:rPr>
        <w:t xml:space="preserve">mass </w:t>
      </w:r>
      <w:r>
        <w:rPr>
          <w:rFonts w:ascii="Calibri" w:eastAsia="Times New Roman" w:hAnsi="Calibri" w:cs="Calibri"/>
          <w:color w:val="000000"/>
          <w:lang w:eastAsia="en-GB"/>
        </w:rPr>
        <w:t xml:space="preserve">vaccination likely influenced models of incident deaths, particularly </w:t>
      </w:r>
      <w:r w:rsidR="005C28F5">
        <w:rPr>
          <w:rFonts w:ascii="Calibri" w:eastAsia="Times New Roman" w:hAnsi="Calibri" w:cs="Calibri"/>
          <w:color w:val="000000"/>
          <w:lang w:eastAsia="en-GB"/>
        </w:rPr>
        <w:t>where</w:t>
      </w:r>
      <w:r>
        <w:rPr>
          <w:rFonts w:ascii="Calibri" w:eastAsia="Times New Roman" w:hAnsi="Calibri" w:cs="Calibri"/>
          <w:color w:val="000000"/>
          <w:lang w:eastAsia="en-GB"/>
        </w:rPr>
        <w:t xml:space="preserve"> varying</w:t>
      </w:r>
      <w:r w:rsidR="009E12AE">
        <w:rPr>
          <w:rFonts w:ascii="Calibri" w:eastAsia="Times New Roman" w:hAnsi="Calibri" w:cs="Calibri"/>
          <w:color w:val="000000"/>
          <w:lang w:eastAsia="en-GB"/>
        </w:rPr>
        <w:t xml:space="preserve"> population</w:t>
      </w:r>
      <w:r>
        <w:rPr>
          <w:rFonts w:ascii="Calibri" w:eastAsia="Times New Roman" w:hAnsi="Calibri" w:cs="Calibri"/>
          <w:color w:val="000000"/>
          <w:lang w:eastAsia="en-GB"/>
        </w:rPr>
        <w:t xml:space="preserve"> vaccination strategies </w:t>
      </w:r>
      <w:r w:rsidR="005C28F5">
        <w:rPr>
          <w:rFonts w:ascii="Calibri" w:eastAsia="Times New Roman" w:hAnsi="Calibri" w:cs="Calibri"/>
          <w:color w:val="000000"/>
          <w:lang w:eastAsia="en-GB"/>
        </w:rPr>
        <w:t>meant the effect of a rise in cases was less consistent across countries</w:t>
      </w:r>
      <w:r>
        <w:rPr>
          <w:rFonts w:ascii="Calibri" w:eastAsia="Times New Roman" w:hAnsi="Calibri" w:cs="Calibri"/>
          <w:color w:val="000000"/>
          <w:lang w:eastAsia="en-GB"/>
        </w:rPr>
        <w:t>. Together this may have meant that the ensemble weights produced by evaluating models’ past performance over all time were poorly calibrated to forecast these changing dynamics. One area for further work can therefore be to compare an ensemble with weights calculated by only more recent past performance, or performance divided into epidemic phase.</w:t>
      </w:r>
    </w:p>
    <w:p w14:paraId="34801F41" w14:textId="126D3ECF" w:rsidR="005B2F18" w:rsidRDefault="006A5FC1" w:rsidP="00F027F1">
      <w:pPr>
        <w:spacing w:before="240" w:after="20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This supports the use of an ensemble as both a useful as well as an accessible way to present forecasts, summarising across a large combination of both diverse models and forecasting targets</w:t>
      </w:r>
      <w:r w:rsidR="00E73341">
        <w:rPr>
          <w:rFonts w:ascii="Calibri" w:eastAsia="Times New Roman" w:hAnsi="Calibri" w:cs="Calibri"/>
          <w:color w:val="000000"/>
          <w:lang w:eastAsia="en-GB"/>
        </w:rPr>
        <w:t>.</w:t>
      </w:r>
      <w:r w:rsidR="00E73341" w:rsidRPr="00E73341">
        <w:rPr>
          <w:rFonts w:ascii="Calibri" w:eastAsia="Times New Roman" w:hAnsi="Calibri" w:cs="Calibri"/>
          <w:color w:val="000000"/>
          <w:lang w:eastAsia="en-GB"/>
        </w:rPr>
        <w:t xml:space="preserve"> </w:t>
      </w:r>
      <w:r w:rsidR="00E73341">
        <w:rPr>
          <w:rFonts w:ascii="Calibri" w:eastAsia="Times New Roman" w:hAnsi="Calibri" w:cs="Calibri"/>
          <w:color w:val="000000"/>
          <w:lang w:eastAsia="en-GB"/>
        </w:rPr>
        <w:t>There was no clear best performer among the individual models that contributed to the ensembles, for any specific target (#forecast-paper).</w:t>
      </w:r>
      <w:r>
        <w:rPr>
          <w:rFonts w:ascii="Calibri" w:eastAsia="Times New Roman" w:hAnsi="Calibri" w:cs="Calibri"/>
          <w:color w:val="000000"/>
          <w:lang w:eastAsia="en-GB"/>
        </w:rPr>
        <w:t xml:space="preserve"> Based on our findings, we recommend the use of median ensemble methods and that policy relevant work that uses ensembles should place more confidence in forecasts of incident death than case counts, particularly at longer (3-4 week) periods into the future.</w:t>
      </w:r>
    </w:p>
    <w:p w14:paraId="040F4E6A" w14:textId="53DA011A" w:rsidR="00241D66" w:rsidRPr="00241D66" w:rsidRDefault="00241D66" w:rsidP="00F027F1">
      <w:pPr>
        <w:spacing w:before="240" w:after="200" w:line="240" w:lineRule="auto"/>
        <w:jc w:val="both"/>
        <w:rPr>
          <w:rFonts w:ascii="Calibri" w:eastAsia="Times New Roman" w:hAnsi="Calibri" w:cs="Calibri"/>
          <w:b/>
          <w:bCs/>
          <w:color w:val="000000"/>
          <w:lang w:eastAsia="en-GB"/>
        </w:rPr>
      </w:pPr>
      <w:r>
        <w:rPr>
          <w:rFonts w:ascii="Calibri" w:eastAsia="Times New Roman" w:hAnsi="Calibri" w:cs="Calibri"/>
          <w:b/>
          <w:bCs/>
          <w:color w:val="000000"/>
          <w:lang w:eastAsia="en-GB"/>
        </w:rPr>
        <w:t>References</w:t>
      </w:r>
    </w:p>
    <w:p w14:paraId="1248775F" w14:textId="12258C94" w:rsidR="00E82EAE" w:rsidRDefault="00510DFD" w:rsidP="00F027F1">
      <w:pPr>
        <w:spacing w:before="240"/>
        <w:rPr>
          <w:rFonts w:ascii="Calibri" w:hAnsi="Calibri" w:cs="Calibri"/>
        </w:rPr>
      </w:pPr>
      <w:hyperlink r:id="rId18" w:history="1">
        <w:r w:rsidRPr="00510DFD">
          <w:rPr>
            <w:rStyle w:val="Hyperlink"/>
            <w:rFonts w:ascii="Calibri" w:hAnsi="Calibri" w:cs="Calibri"/>
          </w:rPr>
          <w:t>BIBL {"uncited":[],"omitted":[],"custom":[]} CSL_BIBLIOGRAPHY</w:t>
        </w:r>
      </w:hyperlink>
    </w:p>
    <w:p w14:paraId="458ED36C" w14:textId="50E6571D" w:rsidR="00510DFD" w:rsidRDefault="00510DFD" w:rsidP="00F027F1">
      <w:pPr>
        <w:spacing w:before="240"/>
      </w:pPr>
      <w:hyperlink r:id="rId19" w:history="1">
        <w:r w:rsidRPr="00510DFD">
          <w:rPr>
            <w:rStyle w:val="Hyperlink"/>
          </w:rPr>
          <w:t>DOCUMENT_PREFERENCES &lt;data data-version="3" zotero-version="5.0.96.3"&gt;&lt;session id="GEWMDfPr"/&gt;&lt;style id="http://www.zotero.org/styles/annals-of-epidemiology" hasBibliography="1" bibliographyStyleHasBeenSet="0"/&gt;&lt;prefs&gt;&lt;pref name="fieldType" value="Field"/&gt;&lt;pref name="automaticJournalAbbreviations" value="true"/&gt;&lt;/prefs&gt;&lt;/data&gt;</w:t>
        </w:r>
      </w:hyperlink>
    </w:p>
    <w:sectPr w:rsidR="00510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B0113"/>
    <w:multiLevelType w:val="multilevel"/>
    <w:tmpl w:val="D95C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92"/>
    <w:rsid w:val="000955E6"/>
    <w:rsid w:val="000A1945"/>
    <w:rsid w:val="000B181A"/>
    <w:rsid w:val="001271E9"/>
    <w:rsid w:val="002140E0"/>
    <w:rsid w:val="00241D66"/>
    <w:rsid w:val="0029002D"/>
    <w:rsid w:val="002C0492"/>
    <w:rsid w:val="00340541"/>
    <w:rsid w:val="003C4300"/>
    <w:rsid w:val="003E191B"/>
    <w:rsid w:val="004915E9"/>
    <w:rsid w:val="004A2F51"/>
    <w:rsid w:val="00510DFD"/>
    <w:rsid w:val="00513C42"/>
    <w:rsid w:val="005454AD"/>
    <w:rsid w:val="005B2F18"/>
    <w:rsid w:val="005C28F5"/>
    <w:rsid w:val="00664405"/>
    <w:rsid w:val="00677FB9"/>
    <w:rsid w:val="006A5FC1"/>
    <w:rsid w:val="007A51D2"/>
    <w:rsid w:val="008868DB"/>
    <w:rsid w:val="008D3218"/>
    <w:rsid w:val="00915721"/>
    <w:rsid w:val="009B45A3"/>
    <w:rsid w:val="009D13DC"/>
    <w:rsid w:val="009E12AE"/>
    <w:rsid w:val="00AF20A9"/>
    <w:rsid w:val="00B435D4"/>
    <w:rsid w:val="00B75392"/>
    <w:rsid w:val="00BA5556"/>
    <w:rsid w:val="00BF7540"/>
    <w:rsid w:val="00C17C16"/>
    <w:rsid w:val="00C45150"/>
    <w:rsid w:val="00D01C05"/>
    <w:rsid w:val="00D207B3"/>
    <w:rsid w:val="00D9541D"/>
    <w:rsid w:val="00DD6851"/>
    <w:rsid w:val="00E64E31"/>
    <w:rsid w:val="00E73341"/>
    <w:rsid w:val="00E82EAE"/>
    <w:rsid w:val="00ED5557"/>
    <w:rsid w:val="00F027F1"/>
    <w:rsid w:val="00F625B8"/>
    <w:rsid w:val="00F65033"/>
    <w:rsid w:val="00F87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74D9"/>
  <w15:chartTrackingRefBased/>
  <w15:docId w15:val="{3E57B810-26FE-48D6-9483-41CADF2F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BodyText"/>
    <w:link w:val="Heading3Char"/>
    <w:uiPriority w:val="9"/>
    <w:unhideWhenUsed/>
    <w:qFormat/>
    <w:rsid w:val="00F027F1"/>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US"/>
    </w:rPr>
  </w:style>
  <w:style w:type="paragraph" w:styleId="Heading4">
    <w:name w:val="heading 4"/>
    <w:basedOn w:val="Normal"/>
    <w:next w:val="BodyText"/>
    <w:link w:val="Heading4Char"/>
    <w:uiPriority w:val="9"/>
    <w:unhideWhenUsed/>
    <w:qFormat/>
    <w:rsid w:val="00F027F1"/>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3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F027F1"/>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F027F1"/>
    <w:rPr>
      <w:rFonts w:asciiTheme="majorHAnsi" w:eastAsiaTheme="majorEastAsia" w:hAnsiTheme="majorHAnsi" w:cstheme="majorBidi"/>
      <w:bCs/>
      <w:i/>
      <w:color w:val="4472C4" w:themeColor="accent1"/>
      <w:sz w:val="24"/>
      <w:szCs w:val="24"/>
      <w:lang w:val="en-US"/>
    </w:rPr>
  </w:style>
  <w:style w:type="paragraph" w:styleId="BodyText">
    <w:name w:val="Body Text"/>
    <w:basedOn w:val="Normal"/>
    <w:link w:val="BodyTextChar"/>
    <w:qFormat/>
    <w:rsid w:val="00F027F1"/>
    <w:pPr>
      <w:spacing w:before="180" w:after="180" w:line="240" w:lineRule="auto"/>
    </w:pPr>
    <w:rPr>
      <w:sz w:val="24"/>
      <w:szCs w:val="24"/>
      <w:lang w:val="en-US"/>
    </w:rPr>
  </w:style>
  <w:style w:type="character" w:customStyle="1" w:styleId="BodyTextChar">
    <w:name w:val="Body Text Char"/>
    <w:basedOn w:val="DefaultParagraphFont"/>
    <w:link w:val="BodyText"/>
    <w:rsid w:val="00F027F1"/>
    <w:rPr>
      <w:sz w:val="24"/>
      <w:szCs w:val="24"/>
      <w:lang w:val="en-US"/>
    </w:rPr>
  </w:style>
  <w:style w:type="paragraph" w:customStyle="1" w:styleId="FirstParagraph">
    <w:name w:val="First Paragraph"/>
    <w:basedOn w:val="BodyText"/>
    <w:next w:val="BodyText"/>
    <w:qFormat/>
    <w:rsid w:val="00F027F1"/>
  </w:style>
  <w:style w:type="paragraph" w:customStyle="1" w:styleId="ImageCaption">
    <w:name w:val="Image Caption"/>
    <w:basedOn w:val="Caption"/>
    <w:rsid w:val="00F027F1"/>
    <w:pPr>
      <w:spacing w:after="120"/>
    </w:pPr>
    <w:rPr>
      <w:iCs w:val="0"/>
      <w:color w:val="auto"/>
      <w:sz w:val="24"/>
      <w:szCs w:val="24"/>
      <w:lang w:val="en-US"/>
    </w:rPr>
  </w:style>
  <w:style w:type="paragraph" w:customStyle="1" w:styleId="CaptionedFigure">
    <w:name w:val="Captioned Figure"/>
    <w:basedOn w:val="Normal"/>
    <w:rsid w:val="00F027F1"/>
    <w:pPr>
      <w:keepNext/>
      <w:spacing w:after="200" w:line="240" w:lineRule="auto"/>
    </w:pPr>
    <w:rPr>
      <w:sz w:val="24"/>
      <w:szCs w:val="24"/>
      <w:lang w:val="en-US"/>
    </w:rPr>
  </w:style>
  <w:style w:type="paragraph" w:styleId="Caption">
    <w:name w:val="caption"/>
    <w:basedOn w:val="Normal"/>
    <w:next w:val="Normal"/>
    <w:uiPriority w:val="35"/>
    <w:semiHidden/>
    <w:unhideWhenUsed/>
    <w:qFormat/>
    <w:rsid w:val="00F027F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C4300"/>
    <w:rPr>
      <w:sz w:val="16"/>
      <w:szCs w:val="16"/>
    </w:rPr>
  </w:style>
  <w:style w:type="paragraph" w:styleId="CommentText">
    <w:name w:val="annotation text"/>
    <w:basedOn w:val="Normal"/>
    <w:link w:val="CommentTextChar"/>
    <w:uiPriority w:val="99"/>
    <w:semiHidden/>
    <w:unhideWhenUsed/>
    <w:rsid w:val="003C4300"/>
    <w:pPr>
      <w:spacing w:line="240" w:lineRule="auto"/>
    </w:pPr>
    <w:rPr>
      <w:sz w:val="20"/>
      <w:szCs w:val="20"/>
    </w:rPr>
  </w:style>
  <w:style w:type="character" w:customStyle="1" w:styleId="CommentTextChar">
    <w:name w:val="Comment Text Char"/>
    <w:basedOn w:val="DefaultParagraphFont"/>
    <w:link w:val="CommentText"/>
    <w:uiPriority w:val="99"/>
    <w:semiHidden/>
    <w:rsid w:val="003C4300"/>
    <w:rPr>
      <w:sz w:val="20"/>
      <w:szCs w:val="20"/>
    </w:rPr>
  </w:style>
  <w:style w:type="paragraph" w:styleId="CommentSubject">
    <w:name w:val="annotation subject"/>
    <w:basedOn w:val="CommentText"/>
    <w:next w:val="CommentText"/>
    <w:link w:val="CommentSubjectChar"/>
    <w:uiPriority w:val="99"/>
    <w:semiHidden/>
    <w:unhideWhenUsed/>
    <w:rsid w:val="003C4300"/>
    <w:rPr>
      <w:b/>
      <w:bCs/>
    </w:rPr>
  </w:style>
  <w:style w:type="character" w:customStyle="1" w:styleId="CommentSubjectChar">
    <w:name w:val="Comment Subject Char"/>
    <w:basedOn w:val="CommentTextChar"/>
    <w:link w:val="CommentSubject"/>
    <w:uiPriority w:val="99"/>
    <w:semiHidden/>
    <w:rsid w:val="003C4300"/>
    <w:rPr>
      <w:b/>
      <w:bCs/>
      <w:sz w:val="20"/>
      <w:szCs w:val="20"/>
    </w:rPr>
  </w:style>
  <w:style w:type="paragraph" w:styleId="Bibliography">
    <w:name w:val="Bibliography"/>
    <w:basedOn w:val="Normal"/>
    <w:next w:val="Normal"/>
    <w:uiPriority w:val="37"/>
    <w:unhideWhenUsed/>
    <w:rsid w:val="00241D66"/>
    <w:pPr>
      <w:tabs>
        <w:tab w:val="left" w:pos="384"/>
      </w:tabs>
      <w:spacing w:after="0" w:line="240" w:lineRule="auto"/>
      <w:ind w:left="384" w:hanging="384"/>
    </w:pPr>
  </w:style>
  <w:style w:type="character" w:styleId="Hyperlink">
    <w:name w:val="Hyperlink"/>
    <w:basedOn w:val="DefaultParagraphFont"/>
    <w:uiPriority w:val="99"/>
    <w:unhideWhenUsed/>
    <w:rsid w:val="00510DFD"/>
    <w:rPr>
      <w:color w:val="0563C1" w:themeColor="hyperlink"/>
      <w:u w:val="single"/>
    </w:rPr>
  </w:style>
  <w:style w:type="character" w:styleId="UnresolvedMention">
    <w:name w:val="Unresolved Mention"/>
    <w:basedOn w:val="DefaultParagraphFont"/>
    <w:uiPriority w:val="99"/>
    <w:semiHidden/>
    <w:unhideWhenUsed/>
    <w:rsid w:val="00510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71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 TargetMode="External"/><Relationship Id="rId13" Type="http://schemas.openxmlformats.org/officeDocument/2006/relationships/image" Target="media/image2.png"/><Relationship Id="rId18" Type="http://schemas.openxmlformats.org/officeDocument/2006/relationships/hyperlink" Target="https://www.zotero.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zotero.org/" TargetMode="External"/><Relationship Id="rId12" Type="http://schemas.openxmlformats.org/officeDocument/2006/relationships/image" Target="media/image1.png"/><Relationship Id="rId17" Type="http://schemas.openxmlformats.org/officeDocument/2006/relationships/hyperlink" Target="https://www.zotero.org/" TargetMode="External"/><Relationship Id="rId2" Type="http://schemas.openxmlformats.org/officeDocument/2006/relationships/styles" Target="styles.xml"/><Relationship Id="rId16" Type="http://schemas.openxmlformats.org/officeDocument/2006/relationships/hyperlink" Target="https://www.zotero.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zotero.org/" TargetMode="External"/><Relationship Id="rId11" Type="http://schemas.openxmlformats.org/officeDocument/2006/relationships/hyperlink" Target="https://www.zotero.org/" TargetMode="External"/><Relationship Id="rId5" Type="http://schemas.openxmlformats.org/officeDocument/2006/relationships/hyperlink" Target="https://www.zotero.org/" TargetMode="External"/><Relationship Id="rId15" Type="http://schemas.openxmlformats.org/officeDocument/2006/relationships/image" Target="media/image4.png"/><Relationship Id="rId10" Type="http://schemas.openxmlformats.org/officeDocument/2006/relationships/hyperlink" Target="https://www.zotero.org/" TargetMode="External"/><Relationship Id="rId19" Type="http://schemas.openxmlformats.org/officeDocument/2006/relationships/hyperlink" Target="https://www.zotero.org/" TargetMode="External"/><Relationship Id="rId4" Type="http://schemas.openxmlformats.org/officeDocument/2006/relationships/webSettings" Target="webSettings.xml"/><Relationship Id="rId9" Type="http://schemas.openxmlformats.org/officeDocument/2006/relationships/hyperlink" Target="https://www.zotero.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8611</Words>
  <Characters>49085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Sherratt</dc:creator>
  <cp:keywords/>
  <dc:description/>
  <cp:lastModifiedBy>Katharine Sherratt</cp:lastModifiedBy>
  <cp:revision>4</cp:revision>
  <dcterms:created xsi:type="dcterms:W3CDTF">2021-09-23T03:26:00Z</dcterms:created>
  <dcterms:modified xsi:type="dcterms:W3CDTF">2021-09-23T03:27:00Z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id="GEWMDfPr"/&gt;&lt;style id="http://www.zotero.org/styles/annals-of-epidemiology"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