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before="0" w:after="80" w:line="240" w:lineRule="auto"/>
      </w:pPr>
      <w:r>
        <w:rPr>
          <w:rFonts w:ascii="Calibri" w:hAnsi="Calibri" w:eastAsia="Calibri"/>
          <w:b/>
          <w:color w:val="2E74B5"/>
          <w:sz w:val="20"/>
        </w:rPr>
        <w:t>BÁO CÁO ĐÁNH GIÁ PHẦN MỀM</w:t>
      </w:r>
    </w:p>
    <w:p>
      <w:pPr>
        <w:pStyle w:val="Title"/>
      </w:pPr>
      <w:r>
        <w:t>TRẠM DỰ ÁN</w:t>
      </w:r>
    </w:p>
    <w:p>
      <w:pPr>
        <w:pStyle w:val="Subtitle"/>
      </w:pPr>
      <w:r>
        <w:t>Đánh giá kỹ thuật, bảo mật, kiểm thử và mức sẵn sàng triển khai</w:t>
      </w:r>
    </w:p>
    <w:p>
      <w:pPr>
        <w:spacing w:before="0" w:after="40" w:line="240" w:lineRule="auto"/>
      </w:pPr>
      <w:r>
        <w:rPr>
          <w:rFonts w:ascii="Calibri" w:hAnsi="Calibri" w:eastAsia="Calibri"/>
          <w:b/>
          <w:color w:val="000000"/>
          <w:sz w:val="21"/>
        </w:rPr>
        <w:t xml:space="preserve">Ngày đánh giá: </w:t>
      </w:r>
      <w:r>
        <w:rPr>
          <w:rFonts w:ascii="Calibri" w:hAnsi="Calibri" w:eastAsia="Calibri"/>
          <w:color w:val="000000"/>
          <w:sz w:val="21"/>
        </w:rPr>
        <w:t>17/08/2026</w:t>
      </w:r>
    </w:p>
    <w:p>
      <w:pPr>
        <w:spacing w:before="0" w:after="40" w:line="240" w:lineRule="auto"/>
      </w:pPr>
      <w:r>
        <w:rPr>
          <w:rFonts w:ascii="Calibri" w:hAnsi="Calibri" w:eastAsia="Calibri"/>
          <w:b/>
          <w:color w:val="000000"/>
          <w:sz w:val="21"/>
        </w:rPr>
        <w:t xml:space="preserve">Phạm vi: </w:t>
      </w:r>
      <w:r>
        <w:rPr>
          <w:rFonts w:ascii="Calibri" w:hAnsi="Calibri" w:eastAsia="Calibri"/>
          <w:color w:val="000000"/>
          <w:sz w:val="21"/>
        </w:rPr>
        <w:t>D:\Quản lý dự án\Quản lý dự án</w:t>
      </w:r>
    </w:p>
    <w:p>
      <w:pPr>
        <w:spacing w:before="0" w:after="40" w:line="240" w:lineRule="auto"/>
      </w:pPr>
      <w:r>
        <w:rPr>
          <w:rFonts w:ascii="Calibri" w:hAnsi="Calibri" w:eastAsia="Calibri"/>
          <w:b/>
          <w:color w:val="000000"/>
          <w:sz w:val="21"/>
        </w:rPr>
        <w:t xml:space="preserve">Phương pháp: </w:t>
      </w:r>
      <w:r>
        <w:rPr>
          <w:rFonts w:ascii="Calibri" w:hAnsi="Calibri" w:eastAsia="Calibri"/>
          <w:color w:val="000000"/>
          <w:sz w:val="21"/>
        </w:rPr>
        <w:t>Rà soát mã/tài liệu, build, test và dependency audit</w:t>
      </w:r>
    </w:p>
    <w:p>
      <w:pPr>
        <w:spacing w:before="0" w:after="40" w:line="240" w:lineRule="auto"/>
      </w:pPr>
      <w:r>
        <w:rPr>
          <w:rFonts w:ascii="Calibri" w:hAnsi="Calibri" w:eastAsia="Calibri"/>
          <w:b/>
          <w:color w:val="000000"/>
          <w:sz w:val="21"/>
        </w:rPr>
        <w:t xml:space="preserve">Trạng thái: </w:t>
      </w:r>
      <w:r>
        <w:rPr>
          <w:rFonts w:ascii="Calibri" w:hAnsi="Calibri" w:eastAsia="Calibri"/>
          <w:color w:val="000000"/>
          <w:sz w:val="21"/>
        </w:rPr>
        <w:t>Thí điểm có kiểm soát trên LAN/NAS</w:t>
      </w:r>
    </w:p>
    <w:p>
      <w:pPr>
        <w:spacing w:after="40"/>
      </w:pP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val="true"/>
        </w:trPr>
        <w:tc>
          <w:tcPr>
            <w:tcW w:type="dxa" w:w="2100"/>
            <w:tcMar>
              <w:top w:w="80" w:type="dxa"/>
              <w:start w:w="120" w:type="dxa"/>
              <w:bottom w:w="80" w:type="dxa"/>
              <w:end w:w="120" w:type="dxa"/>
            </w:tcMar>
            <w:vAlign w:val="center"/>
            <w:shd w:fill="0B2545"/>
          </w:tcPr>
          <w:p>
            <w:pPr>
              <w:spacing w:before="0" w:after="40" w:line="240" w:lineRule="auto"/>
              <w:jc w:val="center"/>
            </w:pPr>
            <w:r>
              <w:rPr>
                <w:rFonts w:ascii="Calibri" w:hAnsi="Calibri" w:eastAsia="Calibri"/>
                <w:b/>
                <w:color w:val="FFFFFF"/>
                <w:sz w:val="36"/>
              </w:rPr>
              <w:t>8,3/10</w:t>
            </w:r>
          </w:p>
          <w:p>
            <w:pPr>
              <w:spacing w:before="0" w:after="0" w:line="240" w:lineRule="auto"/>
              <w:jc w:val="center"/>
            </w:pPr>
            <w:r>
              <w:rPr>
                <w:rFonts w:ascii="Calibri" w:hAnsi="Calibri" w:eastAsia="Calibri"/>
                <w:b/>
                <w:color w:val="FFFFFF"/>
                <w:sz w:val="17"/>
              </w:rPr>
              <w:t>ĐIỂM TỔNG HỢP</w:t>
            </w:r>
          </w:p>
        </w:tc>
        <w:tc>
          <w:tcPr>
            <w:tcW w:type="dxa" w:w="7260"/>
            <w:tcMar>
              <w:top w:w="80" w:type="dxa"/>
              <w:start w:w="120" w:type="dxa"/>
              <w:bottom w:w="80" w:type="dxa"/>
              <w:end w:w="120" w:type="dxa"/>
            </w:tcMar>
            <w:vAlign w:val="center"/>
            <w:shd w:fill="F4F6F9"/>
          </w:tcPr>
          <w:p>
            <w:pPr>
              <w:spacing w:before="0" w:after="40" w:line="264" w:lineRule="auto"/>
            </w:pPr>
            <w:r>
              <w:rPr>
                <w:rFonts w:ascii="Calibri" w:hAnsi="Calibri" w:eastAsia="Calibri"/>
                <w:b/>
                <w:color w:val="0B2545"/>
                <w:sz w:val="20"/>
              </w:rPr>
              <w:t>Kết luận điều hành</w:t>
              <w:br/>
            </w:r>
            <w:r>
              <w:rPr>
                <w:rFonts w:ascii="Calibri" w:hAnsi="Calibri" w:eastAsia="Calibri"/>
                <w:color w:val="000000"/>
                <w:sz w:val="21"/>
              </w:rPr>
              <w:t>Trạm Dự Án cân bằng tốt giữa chức năng, phân quyền, giấy phép, sao lưu và khả năng bàn giao. Build đạt, 49/49 ca phân quyền/giấy phép đạt và hai gói nội bộ/NAS đồng nhất. Rủi ro chính là mã nguồn nguyên khối và phạm vi kiểm thử hiện tập trung quá nhiều vào auth/license.</w:t>
            </w:r>
          </w:p>
        </w:tc>
      </w:tr>
    </w:tbl>
    <w:p>
      <w:pPr>
        <w:pStyle w:val="Heading1"/>
        <w:keepNext/>
      </w:pPr>
      <w:r>
        <w:t>1. Kết luận và khuyến nghị</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4F6F9"/>
          </w:tcPr>
          <w:p>
            <w:pPr>
              <w:spacing w:before="0" w:after="0" w:line="264" w:lineRule="auto"/>
            </w:pPr>
            <w:r>
              <w:rPr>
                <w:rFonts w:ascii="Calibri" w:hAnsi="Calibri" w:eastAsia="Calibri"/>
                <w:b/>
                <w:color w:val="0B2545"/>
                <w:sz w:val="21"/>
              </w:rPr>
              <w:t xml:space="preserve">Quyết định đề xuất: </w:t>
            </w:r>
            <w:r>
              <w:rPr>
                <w:rFonts w:ascii="Calibri" w:hAnsi="Calibri" w:eastAsia="Calibri"/>
                <w:color w:val="000000"/>
                <w:sz w:val="21"/>
              </w:rPr>
              <w:t>Có thể triển khai thí điểm trong LAN hoặc NAS sau khi bật HTTPS và diễn tập khôi phục dữ liệu. Chưa nên mở rộng toàn công ty trước khi bổ sung test nghiệp vụ, đồng bộ đa client và restore.</w:t>
            </w:r>
          </w:p>
        </w:tc>
      </w:tr>
    </w:tbl>
    <w:p>
      <w:pPr>
        <w:spacing w:before="0" w:after="120" w:line="264" w:lineRule="auto"/>
      </w:pPr>
      <w:r>
        <w:rPr>
          <w:rFonts w:ascii="Calibri" w:hAnsi="Calibri" w:eastAsia="Calibri"/>
          <w:color w:val="000000"/>
        </w:rPr>
        <w:t>Trạm Dự Án cân bằng tốt giữa chức năng, phân quyền, giấy phép, sao lưu và khả năng bàn giao. Build đạt, 49/49 ca phân quyền/giấy phép đạt và hai gói nội bộ/NAS đồng nhất. Rủi ro chính là mã nguồn nguyên khối và phạm vi kiểm thử hiện tập trung quá nhiều vào auth/license.</w:t>
      </w:r>
    </w:p>
    <w:p>
      <w:pPr>
        <w:pStyle w:val="Heading1"/>
        <w:keepNext/>
      </w:pPr>
      <w:r>
        <w:t>2. Phạm vi và phương pháp đánh giá</w:t>
      </w:r>
    </w:p>
    <w:p>
      <w:pPr>
        <w:spacing w:before="0" w:after="120" w:line="264" w:lineRule="auto"/>
      </w:pPr>
      <w:r>
        <w:rPr>
          <w:rFonts w:ascii="Calibri" w:hAnsi="Calibri" w:eastAsia="Calibri"/>
          <w:color w:val="000000"/>
        </w:rPr>
        <w:t>Báo cáo được lập từ việc đọc tài liệu, cấu trúc dự án, mô hình dữ liệu, mã nguồn và cấu hình; chạy build/typecheck/lint/test hiện có; đối chiếu artifact; và kiểm tra dependency tại thời điểm đánh giá.</w:t>
      </w:r>
    </w:p>
    <w:p>
      <w:pPr>
        <w:pStyle w:val="Heading2"/>
        <w:keepNext/>
      </w:pPr>
      <w:r>
        <w:t>2.1. Phạm vi chức năng</w:t>
      </w:r>
    </w:p>
    <w:p>
      <w:pPr>
        <w:numPr>
          <w:ilvl w:val="0"/>
          <w:numId w:val="10"/>
        </w:numPr>
      </w:pPr>
      <w:r>
        <w:rPr>
          <w:rFonts w:ascii="Calibri" w:hAnsi="Calibri" w:eastAsia="Calibri"/>
          <w:color w:val="000000"/>
          <w:sz w:val="22"/>
        </w:rPr>
        <w:t>Quản lý dự án xây dựng, công việc, duyệt hai cấp và báo cáo tiến độ.</w:t>
      </w:r>
    </w:p>
    <w:p>
      <w:pPr>
        <w:numPr>
          <w:ilvl w:val="0"/>
          <w:numId w:val="10"/>
        </w:numPr>
      </w:pPr>
      <w:r>
        <w:rPr>
          <w:rFonts w:ascii="Calibri" w:hAnsi="Calibri" w:eastAsia="Calibri"/>
          <w:color w:val="000000"/>
          <w:sz w:val="22"/>
        </w:rPr>
        <w:t>Nhật ký thi công, biên bản, tệp theo dự án và quyền xem theo vai trò/phân công.</w:t>
      </w:r>
    </w:p>
    <w:p>
      <w:pPr>
        <w:numPr>
          <w:ilvl w:val="0"/>
          <w:numId w:val="10"/>
        </w:numPr>
      </w:pPr>
      <w:r>
        <w:rPr>
          <w:rFonts w:ascii="Calibri" w:hAnsi="Calibri" w:eastAsia="Calibri"/>
          <w:color w:val="000000"/>
          <w:sz w:val="22"/>
        </w:rPr>
        <w:t>Đường găng, BOQ, chi phí và các báo cáo phục vụ quản lý nội bộ.</w:t>
      </w:r>
    </w:p>
    <w:p>
      <w:pPr>
        <w:numPr>
          <w:ilvl w:val="0"/>
          <w:numId w:val="10"/>
        </w:numPr>
      </w:pPr>
      <w:r>
        <w:rPr>
          <w:rFonts w:ascii="Calibri" w:hAnsi="Calibri" w:eastAsia="Calibri"/>
          <w:color w:val="000000"/>
          <w:sz w:val="22"/>
        </w:rPr>
        <w:t>Hai gói triển khai: máy nội bộ và NAS Synology/Docker.</w:t>
      </w:r>
    </w:p>
    <w:p>
      <w:r>
        <w:br w:type="page"/>
      </w:r>
    </w:p>
    <w:p>
      <w:pPr>
        <w:pStyle w:val="Heading1"/>
        <w:keepNext/>
      </w:pPr>
      <w:r>
        <w:t>3. Kiến trúc và quy mô</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Thành phần</w:t>
            </w:r>
          </w:p>
        </w:tc>
        <w:tc>
          <w:tcPr>
            <w:tcW w:type="dxa" w:w="666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Đánh giá</w:t>
            </w:r>
          </w:p>
        </w:tc>
      </w:tr>
      <w:tr>
        <w:trPr>
          <w:cantSplit w:val="true"/>
        </w:trPr>
        <w:tc>
          <w:tcPr>
            <w:tcW w:type="dxa" w:w="27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Server</w:t>
            </w:r>
          </w:p>
        </w:tc>
        <w:tc>
          <w:tcPr>
            <w:tcW w:type="dxa" w:w="66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Node.js thuần; API, phân quyền, license, tệp và backup trong một server.</w:t>
            </w:r>
          </w:p>
        </w:tc>
      </w:tr>
      <w:tr>
        <w:trPr>
          <w:cantSplit w:val="true"/>
        </w:trPr>
        <w:tc>
          <w:tcPr>
            <w:tcW w:type="dxa" w:w="27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Client</w:t>
            </w:r>
          </w:p>
        </w:tc>
        <w:tc>
          <w:tcPr>
            <w:tcW w:type="dxa" w:w="66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React/Ant Design build thành bundle tĩnh; state đồng bộ qua KV có revision.</w:t>
            </w:r>
          </w:p>
        </w:tc>
      </w:tr>
      <w:tr>
        <w:trPr>
          <w:cantSplit w:val="true"/>
        </w:trPr>
        <w:tc>
          <w:tcPr>
            <w:tcW w:type="dxa" w:w="27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Dữ liệu</w:t>
            </w:r>
          </w:p>
        </w:tc>
        <w:tc>
          <w:tcPr>
            <w:tcW w:type="dxa" w:w="66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JSON ghi nguyên tử, giữ .bak; snapshot hàng ngày, giữ 14 ngày.</w:t>
            </w:r>
          </w:p>
        </w:tc>
      </w:tr>
      <w:tr>
        <w:trPr>
          <w:cantSplit w:val="true"/>
        </w:trPr>
        <w:tc>
          <w:tcPr>
            <w:tcW w:type="dxa" w:w="27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Quy mô</w:t>
            </w:r>
          </w:p>
        </w:tc>
        <w:tc>
          <w:tcPr>
            <w:tcW w:type="dxa" w:w="66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Mã chính khoảng 5.398 dòng; ProjectManager.jsx 4.162 dòng, server.js 1.205 dòng.</w:t>
            </w:r>
          </w:p>
        </w:tc>
      </w:tr>
    </w:tbl>
    <w:p>
      <w:pPr>
        <w:pStyle w:val="Heading1"/>
        <w:keepNext/>
      </w:pPr>
      <w:r>
        <w:t>4. Kết quả kiểm chứng</w:t>
      </w:r>
    </w:p>
    <w:tbl>
      <w:tblPr>
        <w:tblStyle w:val="TableGrid"/>
        <w:tblW w:type="dxa" w:w="9360"/>
        <w:jc w:val="left"/>
        <w:tblLayout w:type="fixed"/>
        <w:tblLook w:firstColumn="1" w:firstRow="1" w:lastColumn="0" w:lastRow="0" w:noHBand="0" w:noVBand="1" w:val="04A0"/>
        <w:tblInd w:w="120" w:type="dxa"/>
      </w:tblPr>
      <w:tblGrid>
        <w:gridCol w:w="2300"/>
        <w:gridCol w:w="1700"/>
        <w:gridCol w:w="5360"/>
      </w:tblGrid>
      <w:tr>
        <w:trPr>
          <w:cantSplit w:val="true"/>
          <w:tblHeader w:val="true"/>
        </w:trPr>
        <w:tc>
          <w:tcPr>
            <w:tcW w:type="dxa" w:w="230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Hạng mục</w:t>
            </w:r>
          </w:p>
        </w:tc>
        <w:tc>
          <w:tcPr>
            <w:tcW w:type="dxa" w:w="170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Kết quả</w:t>
            </w:r>
          </w:p>
        </w:tc>
        <w:tc>
          <w:tcPr>
            <w:tcW w:type="dxa" w:w="536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Bằng chứng/nhận xét</w:t>
            </w:r>
          </w:p>
        </w:tc>
      </w:tr>
      <w:tr>
        <w:trPr>
          <w:cantSplit w:val="true"/>
        </w:trPr>
        <w:tc>
          <w:tcPr>
            <w:tcW w:type="dxa" w:w="23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Build giao diện</w:t>
            </w:r>
          </w:p>
        </w:tc>
        <w:tc>
          <w:tcPr>
            <w:tcW w:type="dxa" w:w="1700"/>
            <w:tcMar>
              <w:top w:w="80" w:type="dxa"/>
              <w:start w:w="120" w:type="dxa"/>
              <w:bottom w:w="80" w:type="dxa"/>
              <w:end w:w="120" w:type="dxa"/>
            </w:tcMar>
            <w:vAlign w:val="center"/>
          </w:tcPr>
          <w:p>
            <w:pPr>
              <w:spacing w:before="0" w:after="40" w:line="240" w:lineRule="auto"/>
            </w:pPr>
            <w:r>
              <w:rPr>
                <w:rFonts w:ascii="Calibri" w:hAnsi="Calibri" w:eastAsia="Calibri"/>
                <w:b/>
                <w:color w:val="1F4D78"/>
                <w:sz w:val="19"/>
              </w:rPr>
              <w:t>Đạt</w:t>
            </w:r>
          </w:p>
        </w:tc>
        <w:tc>
          <w:tcPr>
            <w:tcW w:type="dxa" w:w="53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Tạo bundle khoảng 1,1 MB và cập nhật hash nội dung.</w:t>
            </w:r>
          </w:p>
        </w:tc>
      </w:tr>
      <w:tr>
        <w:trPr>
          <w:cantSplit w:val="true"/>
        </w:trPr>
        <w:tc>
          <w:tcPr>
            <w:tcW w:type="dxa" w:w="23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Test phân quyền</w:t>
            </w:r>
          </w:p>
        </w:tc>
        <w:tc>
          <w:tcPr>
            <w:tcW w:type="dxa" w:w="1700"/>
            <w:tcMar>
              <w:top w:w="80" w:type="dxa"/>
              <w:start w:w="120" w:type="dxa"/>
              <w:bottom w:w="80" w:type="dxa"/>
              <w:end w:w="120" w:type="dxa"/>
            </w:tcMar>
            <w:vAlign w:val="center"/>
          </w:tcPr>
          <w:p>
            <w:pPr>
              <w:spacing w:before="0" w:after="40" w:line="240" w:lineRule="auto"/>
            </w:pPr>
            <w:r>
              <w:rPr>
                <w:rFonts w:ascii="Calibri" w:hAnsi="Calibri" w:eastAsia="Calibri"/>
                <w:b/>
                <w:color w:val="1F4D78"/>
                <w:sz w:val="19"/>
              </w:rPr>
              <w:t>41/41 đạt</w:t>
            </w:r>
          </w:p>
        </w:tc>
        <w:tc>
          <w:tcPr>
            <w:tcW w:type="dxa" w:w="53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Kiểm chứng xóa, thùng rác, duyệt, lịch sử và quyền xem tệp.</w:t>
            </w:r>
          </w:p>
        </w:tc>
      </w:tr>
      <w:tr>
        <w:trPr>
          <w:cantSplit w:val="true"/>
        </w:trPr>
        <w:tc>
          <w:tcPr>
            <w:tcW w:type="dxa" w:w="23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Test giấy phép</w:t>
            </w:r>
          </w:p>
        </w:tc>
        <w:tc>
          <w:tcPr>
            <w:tcW w:type="dxa" w:w="1700"/>
            <w:tcMar>
              <w:top w:w="80" w:type="dxa"/>
              <w:start w:w="120" w:type="dxa"/>
              <w:bottom w:w="80" w:type="dxa"/>
              <w:end w:w="120" w:type="dxa"/>
            </w:tcMar>
            <w:vAlign w:val="center"/>
          </w:tcPr>
          <w:p>
            <w:pPr>
              <w:spacing w:before="0" w:after="40" w:line="240" w:lineRule="auto"/>
            </w:pPr>
            <w:r>
              <w:rPr>
                <w:rFonts w:ascii="Calibri" w:hAnsi="Calibri" w:eastAsia="Calibri"/>
                <w:b/>
                <w:color w:val="1F4D78"/>
                <w:sz w:val="19"/>
              </w:rPr>
              <w:t>8/8 đạt</w:t>
            </w:r>
          </w:p>
        </w:tc>
        <w:tc>
          <w:tcPr>
            <w:tcW w:type="dxa" w:w="53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Kiểm chứng trial, mirror, tamper và chế độ chỉ đọc.</w:t>
            </w:r>
          </w:p>
        </w:tc>
      </w:tr>
      <w:tr>
        <w:trPr>
          <w:cantSplit w:val="true"/>
        </w:trPr>
        <w:tc>
          <w:tcPr>
            <w:tcW w:type="dxa" w:w="23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Đồng nhất hai gói</w:t>
            </w:r>
          </w:p>
        </w:tc>
        <w:tc>
          <w:tcPr>
            <w:tcW w:type="dxa" w:w="1700"/>
            <w:tcMar>
              <w:top w:w="80" w:type="dxa"/>
              <w:start w:w="120" w:type="dxa"/>
              <w:bottom w:w="80" w:type="dxa"/>
              <w:end w:w="120" w:type="dxa"/>
            </w:tcMar>
            <w:vAlign w:val="center"/>
          </w:tcPr>
          <w:p>
            <w:pPr>
              <w:spacing w:before="0" w:after="40" w:line="240" w:lineRule="auto"/>
            </w:pPr>
            <w:r>
              <w:rPr>
                <w:rFonts w:ascii="Calibri" w:hAnsi="Calibri" w:eastAsia="Calibri"/>
                <w:b/>
                <w:color w:val="1F4D78"/>
                <w:sz w:val="19"/>
              </w:rPr>
              <w:t>Đạt</w:t>
            </w:r>
          </w:p>
        </w:tc>
        <w:tc>
          <w:tcPr>
            <w:tcW w:type="dxa" w:w="53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Hash server.js, ProjectManager.jsx và app.js khớp giữa nội bộ/NAS.</w:t>
            </w:r>
          </w:p>
        </w:tc>
      </w:tr>
      <w:tr>
        <w:trPr>
          <w:cantSplit w:val="true"/>
        </w:trPr>
        <w:tc>
          <w:tcPr>
            <w:tcW w:type="dxa" w:w="23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Dependency audit</w:t>
            </w:r>
          </w:p>
        </w:tc>
        <w:tc>
          <w:tcPr>
            <w:tcW w:type="dxa" w:w="1700"/>
            <w:tcMar>
              <w:top w:w="80" w:type="dxa"/>
              <w:start w:w="120" w:type="dxa"/>
              <w:bottom w:w="80" w:type="dxa"/>
              <w:end w:w="120" w:type="dxa"/>
            </w:tcMar>
            <w:vAlign w:val="center"/>
          </w:tcPr>
          <w:p>
            <w:pPr>
              <w:spacing w:before="0" w:after="40" w:line="240" w:lineRule="auto"/>
            </w:pPr>
            <w:r>
              <w:rPr>
                <w:rFonts w:ascii="Calibri" w:hAnsi="Calibri" w:eastAsia="Calibri"/>
                <w:b/>
                <w:color w:val="1F4D78"/>
                <w:sz w:val="19"/>
              </w:rPr>
              <w:t>Đạt</w:t>
            </w:r>
          </w:p>
        </w:tc>
        <w:tc>
          <w:tcPr>
            <w:tcW w:type="dxa" w:w="53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Thư mục build không có cảnh báo audit tại thời điểm đánh giá.</w:t>
            </w:r>
          </w:p>
        </w:tc>
      </w:tr>
    </w:tbl>
    <w:p>
      <w:pPr>
        <w:pStyle w:val="Heading1"/>
        <w:keepNext/>
      </w:pPr>
      <w:r>
        <w:t>5. Điểm mạnh</w:t>
      </w:r>
    </w:p>
    <w:p>
      <w:pPr>
        <w:numPr>
          <w:ilvl w:val="0"/>
          <w:numId w:val="10"/>
        </w:numPr>
      </w:pPr>
      <w:r>
        <w:rPr>
          <w:rFonts w:ascii="Calibri" w:hAnsi="Calibri" w:eastAsia="Calibri"/>
          <w:color w:val="000000"/>
          <w:sz w:val="22"/>
        </w:rPr>
        <w:t>Phân quyền được kiểm tra tại server và đã có test cho nhiều tình huống phá hoại/mất dữ liệu.</w:t>
      </w:r>
    </w:p>
    <w:p>
      <w:pPr>
        <w:numPr>
          <w:ilvl w:val="0"/>
          <w:numId w:val="10"/>
        </w:numPr>
      </w:pPr>
      <w:r>
        <w:rPr>
          <w:rFonts w:ascii="Calibri" w:hAnsi="Calibri" w:eastAsia="Calibri"/>
          <w:color w:val="000000"/>
          <w:sz w:val="22"/>
        </w:rPr>
        <w:t>Mật khẩu dùng scrypt với salt, so sánh constant-time; có chống dò và khóa tạm.</w:t>
      </w:r>
    </w:p>
    <w:p>
      <w:pPr>
        <w:numPr>
          <w:ilvl w:val="0"/>
          <w:numId w:val="10"/>
        </w:numPr>
      </w:pPr>
      <w:r>
        <w:rPr>
          <w:rFonts w:ascii="Calibri" w:hAnsi="Calibri" w:eastAsia="Calibri"/>
          <w:color w:val="000000"/>
          <w:sz w:val="22"/>
        </w:rPr>
        <w:t>Token hết hạn sau 12 giờ không hoạt động; đổi mật khẩu thu hồi phiên liên quan.</w:t>
      </w:r>
    </w:p>
    <w:p>
      <w:pPr>
        <w:numPr>
          <w:ilvl w:val="0"/>
          <w:numId w:val="10"/>
        </w:numPr>
      </w:pPr>
      <w:r>
        <w:rPr>
          <w:rFonts w:ascii="Calibri" w:hAnsi="Calibri" w:eastAsia="Calibri"/>
          <w:color w:val="000000"/>
          <w:sz w:val="22"/>
        </w:rPr>
        <w:t>Có CSP/header bảo mật, ghi JSON nguyên tử, .bak và snapshot 14 ngày.</w:t>
      </w:r>
    </w:p>
    <w:p>
      <w:pPr>
        <w:numPr>
          <w:ilvl w:val="0"/>
          <w:numId w:val="10"/>
        </w:numPr>
      </w:pPr>
      <w:r>
        <w:rPr>
          <w:rFonts w:ascii="Calibri" w:hAnsi="Calibri" w:eastAsia="Calibri"/>
          <w:color w:val="000000"/>
          <w:sz w:val="22"/>
        </w:rPr>
        <w:t>License có chữ ký, nhiều bản phản chiếu, chống sửa/lùi đồng hồ và hết hạn thì chỉ đọc chứ không xóa dữ liệu.</w:t>
      </w:r>
    </w:p>
    <w:p>
      <w:pPr>
        <w:numPr>
          <w:ilvl w:val="0"/>
          <w:numId w:val="10"/>
        </w:numPr>
      </w:pPr>
      <w:r>
        <w:rPr>
          <w:rFonts w:ascii="Calibri" w:hAnsi="Calibri" w:eastAsia="Calibri"/>
          <w:color w:val="000000"/>
          <w:sz w:val="22"/>
        </w:rPr>
        <w:t>Pipeline build bảo đảm hai gói nội bộ/NAS dùng cùng mã và đã đối chiếu byte.</w:t>
      </w:r>
    </w:p>
    <w:p>
      <w:pPr>
        <w:pStyle w:val="Heading1"/>
        <w:keepNext/>
      </w:pPr>
      <w:r>
        <w:t>6. Rủi ro và điểm cần cải thiện</w:t>
      </w:r>
    </w:p>
    <w:tbl>
      <w:tblPr>
        <w:tblStyle w:val="TableGrid"/>
        <w:tblW w:type="dxa" w:w="9360"/>
        <w:jc w:val="left"/>
        <w:tblLayout w:type="fixed"/>
        <w:tblLook w:firstColumn="1" w:firstRow="1" w:lastColumn="0" w:lastRow="0" w:noHBand="0" w:noVBand="1" w:val="04A0"/>
        <w:tblInd w:w="120" w:type="dxa"/>
      </w:tblPr>
      <w:tblGrid>
        <w:gridCol w:w="1150"/>
        <w:gridCol w:w="3410"/>
        <w:gridCol w:w="4800"/>
      </w:tblGrid>
      <w:tr>
        <w:trPr>
          <w:cantSplit w:val="true"/>
          <w:tblHeader w:val="true"/>
        </w:trPr>
        <w:tc>
          <w:tcPr>
            <w:tcW w:type="dxa" w:w="115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Mức</w:t>
            </w:r>
          </w:p>
        </w:tc>
        <w:tc>
          <w:tcPr>
            <w:tcW w:type="dxa" w:w="341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Rủi ro</w:t>
            </w:r>
          </w:p>
        </w:tc>
        <w:tc>
          <w:tcPr>
            <w:tcW w:type="dxa" w:w="480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Hành động kiểm soát</w:t>
            </w:r>
          </w:p>
        </w:tc>
      </w:tr>
      <w:tr>
        <w:trPr>
          <w:cantSplit w:val="true"/>
        </w:trPr>
        <w:tc>
          <w:tcPr>
            <w:tcW w:type="dxa" w:w="1150"/>
            <w:tcMar>
              <w:top w:w="80" w:type="dxa"/>
              <w:start w:w="120" w:type="dxa"/>
              <w:bottom w:w="80" w:type="dxa"/>
              <w:end w:w="120" w:type="dxa"/>
            </w:tcMar>
            <w:vAlign w:val="center"/>
          </w:tcPr>
          <w:p>
            <w:pPr>
              <w:spacing w:before="0" w:after="40" w:line="240" w:lineRule="auto"/>
            </w:pPr>
            <w:r>
              <w:rPr>
                <w:rFonts w:ascii="Calibri" w:hAnsi="Calibri" w:eastAsia="Calibri"/>
                <w:b/>
                <w:color w:val="9B1C1C"/>
                <w:sz w:val="19"/>
              </w:rPr>
              <w:t>Cao</w:t>
            </w:r>
          </w:p>
        </w:tc>
        <w:tc>
          <w:tcPr>
            <w:tcW w:type="dxa" w:w="341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Giao diện 4.162 dòng và server 1.205 dòng</w:t>
            </w:r>
          </w:p>
        </w:tc>
        <w:tc>
          <w:tcPr>
            <w:tcW w:type="dxa" w:w="48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Tách theo domain auth, project/task, file, finance, report, license và backup.</w:t>
            </w:r>
          </w:p>
        </w:tc>
      </w:tr>
      <w:tr>
        <w:trPr>
          <w:cantSplit w:val="true"/>
        </w:trPr>
        <w:tc>
          <w:tcPr>
            <w:tcW w:type="dxa" w:w="1150"/>
            <w:tcMar>
              <w:top w:w="80" w:type="dxa"/>
              <w:start w:w="120" w:type="dxa"/>
              <w:bottom w:w="80" w:type="dxa"/>
              <w:end w:w="120" w:type="dxa"/>
            </w:tcMar>
            <w:vAlign w:val="center"/>
          </w:tcPr>
          <w:p>
            <w:pPr>
              <w:spacing w:before="0" w:after="40" w:line="240" w:lineRule="auto"/>
            </w:pPr>
            <w:r>
              <w:rPr>
                <w:rFonts w:ascii="Calibri" w:hAnsi="Calibri" w:eastAsia="Calibri"/>
                <w:b/>
                <w:color w:val="9B1C1C"/>
                <w:sz w:val="19"/>
              </w:rPr>
              <w:t>Cao</w:t>
            </w:r>
          </w:p>
        </w:tc>
        <w:tc>
          <w:tcPr>
            <w:tcW w:type="dxa" w:w="341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Bearer token lưu localStorage</w:t>
            </w:r>
          </w:p>
        </w:tc>
        <w:tc>
          <w:tcPr>
            <w:tcW w:type="dxa" w:w="48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Khi mở rộng, chuyển sang cookie HttpOnly/Secure/SameSite và bổ sung CSRF phù hợp.</w:t>
            </w:r>
          </w:p>
        </w:tc>
      </w:tr>
      <w:tr>
        <w:trPr>
          <w:cantSplit w:val="true"/>
        </w:trPr>
        <w:tc>
          <w:tcPr>
            <w:tcW w:type="dxa" w:w="1150"/>
            <w:tcMar>
              <w:top w:w="80" w:type="dxa"/>
              <w:start w:w="120" w:type="dxa"/>
              <w:bottom w:w="80" w:type="dxa"/>
              <w:end w:w="120" w:type="dxa"/>
            </w:tcMar>
            <w:vAlign w:val="center"/>
          </w:tcPr>
          <w:p>
            <w:pPr>
              <w:spacing w:before="0" w:after="40" w:line="240" w:lineRule="auto"/>
            </w:pPr>
            <w:r>
              <w:rPr>
                <w:rFonts w:ascii="Calibri" w:hAnsi="Calibri" w:eastAsia="Calibri"/>
                <w:b/>
                <w:color w:val="9B1C1C"/>
                <w:sz w:val="19"/>
              </w:rPr>
              <w:t>Cao</w:t>
            </w:r>
          </w:p>
        </w:tc>
        <w:tc>
          <w:tcPr>
            <w:tcW w:type="dxa" w:w="341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Test chủ yếu tập trung auth/license</w:t>
            </w:r>
          </w:p>
        </w:tc>
        <w:tc>
          <w:tcPr>
            <w:tcW w:type="dxa" w:w="48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Bổ sung test đồng bộ, finance/BOQ, email backup, restore và browser UI.</w:t>
            </w:r>
          </w:p>
        </w:tc>
      </w:tr>
      <w:tr>
        <w:trPr>
          <w:cantSplit w:val="true"/>
        </w:trPr>
        <w:tc>
          <w:tcPr>
            <w:tcW w:type="dxa" w:w="1150"/>
            <w:tcMar>
              <w:top w:w="80" w:type="dxa"/>
              <w:start w:w="120" w:type="dxa"/>
              <w:bottom w:w="80" w:type="dxa"/>
              <w:end w:w="120" w:type="dxa"/>
            </w:tcMar>
            <w:vAlign w:val="center"/>
          </w:tcPr>
          <w:p>
            <w:pPr>
              <w:spacing w:before="0" w:after="40" w:line="240" w:lineRule="auto"/>
            </w:pPr>
            <w:r>
              <w:rPr>
                <w:rFonts w:ascii="Calibri" w:hAnsi="Calibri" w:eastAsia="Calibri"/>
                <w:b/>
                <w:color w:val="9B1C1C"/>
                <w:sz w:val="19"/>
              </w:rPr>
              <w:t>Cao</w:t>
            </w:r>
          </w:p>
        </w:tc>
        <w:tc>
          <w:tcPr>
            <w:tcW w:type="dxa" w:w="341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Cả khối state lưu trong một KV</w:t>
            </w:r>
          </w:p>
        </w:tc>
        <w:tc>
          <w:tcPr>
            <w:tcW w:type="dxa" w:w="48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Đặt ngưỡng kích thước, đo tải và test xung đột revision nhiều client.</w:t>
            </w:r>
          </w:p>
        </w:tc>
      </w:tr>
      <w:tr>
        <w:trPr>
          <w:cantSplit w:val="true"/>
        </w:trPr>
        <w:tc>
          <w:tcPr>
            <w:tcW w:type="dxa" w:w="1150"/>
            <w:tcMar>
              <w:top w:w="80" w:type="dxa"/>
              <w:start w:w="120" w:type="dxa"/>
              <w:bottom w:w="80" w:type="dxa"/>
              <w:end w:w="120" w:type="dxa"/>
            </w:tcMar>
            <w:vAlign w:val="center"/>
          </w:tcPr>
          <w:p>
            <w:pPr>
              <w:spacing w:before="0" w:after="40" w:line="240" w:lineRule="auto"/>
            </w:pPr>
            <w:r>
              <w:rPr>
                <w:rFonts w:ascii="Calibri" w:hAnsi="Calibri" w:eastAsia="Calibri"/>
                <w:b/>
                <w:color w:val="7A5A00"/>
                <w:sz w:val="19"/>
              </w:rPr>
              <w:t>Trung bình</w:t>
            </w:r>
          </w:p>
        </w:tc>
        <w:tc>
          <w:tcPr>
            <w:tcW w:type="dxa" w:w="341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Runtime nodemailer chưa có lockfile riêng</w:t>
            </w:r>
          </w:p>
        </w:tc>
        <w:tc>
          <w:tcPr>
            <w:tcW w:type="dxa" w:w="48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Khóa dependency runtime và audit gói phân phối thực tế.</w:t>
            </w:r>
          </w:p>
        </w:tc>
      </w:tr>
      <w:tr>
        <w:trPr>
          <w:cantSplit w:val="true"/>
        </w:trPr>
        <w:tc>
          <w:tcPr>
            <w:tcW w:type="dxa" w:w="1150"/>
            <w:tcMar>
              <w:top w:w="80" w:type="dxa"/>
              <w:start w:w="120" w:type="dxa"/>
              <w:bottom w:w="80" w:type="dxa"/>
              <w:end w:w="120" w:type="dxa"/>
            </w:tcMar>
            <w:vAlign w:val="center"/>
          </w:tcPr>
          <w:p>
            <w:pPr>
              <w:spacing w:before="0" w:after="40" w:line="240" w:lineRule="auto"/>
            </w:pPr>
            <w:r>
              <w:rPr>
                <w:rFonts w:ascii="Calibri" w:hAnsi="Calibri" w:eastAsia="Calibri"/>
                <w:b/>
                <w:color w:val="7A5A00"/>
                <w:sz w:val="19"/>
              </w:rPr>
              <w:t>Trung bình</w:t>
            </w:r>
          </w:p>
        </w:tc>
        <w:tc>
          <w:tcPr>
            <w:tcW w:type="dxa" w:w="341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HTTPS chưa bắt buộc</w:t>
            </w:r>
          </w:p>
        </w:tc>
        <w:tc>
          <w:tcPr>
            <w:tcW w:type="dxa" w:w="48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Bật HTTPS mặc định cho mọi triển khai có dữ liệu tài chính/tệp.</w:t>
            </w:r>
          </w:p>
        </w:tc>
      </w:tr>
    </w:tbl>
    <w:p>
      <w:pPr>
        <w:pStyle w:val="Heading1"/>
        <w:keepNext/>
      </w:pPr>
      <w:r>
        <w:t>7. Chấm điểm theo tiêu chí</w:t>
      </w:r>
    </w:p>
    <w:tbl>
      <w:tblPr>
        <w:tblStyle w:val="TableGrid"/>
        <w:tblW w:type="dxa" w:w="9360"/>
        <w:jc w:val="left"/>
        <w:tblLayout w:type="fixed"/>
        <w:tblLook w:firstColumn="1" w:firstRow="1" w:lastColumn="0" w:lastRow="0" w:noHBand="0" w:noVBand="1" w:val="04A0"/>
        <w:tblInd w:w="120" w:type="dxa"/>
      </w:tblPr>
      <w:tblGrid>
        <w:gridCol w:w="2900"/>
        <w:gridCol w:w="1300"/>
        <w:gridCol w:w="5160"/>
      </w:tblGrid>
      <w:tr>
        <w:trPr>
          <w:cantSplit w:val="true"/>
          <w:tblHeader w:val="true"/>
        </w:trPr>
        <w:tc>
          <w:tcPr>
            <w:tcW w:type="dxa" w:w="290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Tiêu chí</w:t>
            </w:r>
          </w:p>
        </w:tc>
        <w:tc>
          <w:tcPr>
            <w:tcW w:type="dxa" w:w="130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Điểm /10</w:t>
            </w:r>
          </w:p>
        </w:tc>
        <w:tc>
          <w:tcPr>
            <w:tcW w:type="dxa" w:w="5160"/>
            <w:tcMar>
              <w:top w:w="80" w:type="dxa"/>
              <w:start w:w="120" w:type="dxa"/>
              <w:bottom w:w="80" w:type="dxa"/>
              <w:end w:w="120" w:type="dxa"/>
            </w:tcMar>
            <w:vAlign w:val="center"/>
            <w:shd w:fill="F2F4F7"/>
          </w:tcPr>
          <w:p>
            <w:pPr>
              <w:spacing w:before="0" w:after="40" w:line="240" w:lineRule="auto"/>
            </w:pPr>
            <w:r>
              <w:rPr>
                <w:rFonts w:ascii="Calibri" w:hAnsi="Calibri" w:eastAsia="Calibri"/>
                <w:b/>
                <w:color w:val="000000"/>
                <w:sz w:val="19"/>
              </w:rPr>
              <w:t>Nhận định</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Phù hợp nghiệp vụ</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8,7</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Phạm vi rộng và phù hợp quản lý dự án xây dựng.</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Kiến trúc &amp; dữ liệu</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7,4</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Đơn giản, dễ triển khai; mô hình KV có giới hạn mở rộng.</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Khả năng bảo trì</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6,8</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Monolith lớn làm tăng chi phí review và thay đổi.</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Kiểm thử</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7,2</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Auth/license tốt; thiếu nghiệp vụ/UI/restore.</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Bảo mật</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8,0</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Tốt cho LAN có kiểm soát; localStorage vẫn là điểm yếu.</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Sao lưu &amp; khôi phục</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8,3</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Có atomic write, .bak, snapshot; cần restore drill.</w:t>
            </w:r>
          </w:p>
        </w:tc>
      </w:tr>
      <w:tr>
        <w:trPr>
          <w:cantSplit w:val="true"/>
        </w:trPr>
        <w:tc>
          <w:tcPr>
            <w:tcW w:type="dxa" w:w="290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Triển khai &amp; tài liệu</w:t>
            </w:r>
          </w:p>
        </w:tc>
        <w:tc>
          <w:tcPr>
            <w:tcW w:type="dxa" w:w="1300"/>
            <w:tcMar>
              <w:top w:w="80" w:type="dxa"/>
              <w:start w:w="120" w:type="dxa"/>
              <w:bottom w:w="80" w:type="dxa"/>
              <w:end w:w="120" w:type="dxa"/>
            </w:tcMar>
            <w:vAlign w:val="center"/>
          </w:tcPr>
          <w:p>
            <w:pPr>
              <w:spacing w:before="0" w:after="40" w:line="240" w:lineRule="auto"/>
              <w:jc w:val="center"/>
            </w:pPr>
            <w:r>
              <w:rPr>
                <w:rFonts w:ascii="Calibri" w:hAnsi="Calibri" w:eastAsia="Calibri"/>
                <w:b/>
                <w:color w:val="0B2545"/>
                <w:sz w:val="20"/>
              </w:rPr>
              <w:t>8,7</w:t>
            </w:r>
          </w:p>
        </w:tc>
        <w:tc>
          <w:tcPr>
            <w:tcW w:type="dxa" w:w="5160"/>
            <w:tcMar>
              <w:top w:w="80" w:type="dxa"/>
              <w:start w:w="120" w:type="dxa"/>
              <w:bottom w:w="80" w:type="dxa"/>
              <w:end w:w="120" w:type="dxa"/>
            </w:tcMar>
            <w:vAlign w:val="center"/>
          </w:tcPr>
          <w:p>
            <w:pPr>
              <w:spacing w:before="0" w:after="40" w:line="240" w:lineRule="auto"/>
            </w:pPr>
            <w:r>
              <w:rPr>
                <w:rFonts w:ascii="Calibri" w:hAnsi="Calibri" w:eastAsia="Calibri"/>
                <w:b w:val="0"/>
                <w:color w:val="000000"/>
                <w:sz w:val="19"/>
              </w:rPr>
              <w:t>Hai gói rõ ràng, build đồng bộ và tài liệu bàn giao tốt.</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E8EEF5"/>
          </w:tcPr>
          <w:p>
            <w:pPr>
              <w:spacing w:before="0" w:after="0" w:line="264" w:lineRule="auto"/>
            </w:pPr>
            <w:r>
              <w:rPr>
                <w:rFonts w:ascii="Calibri" w:hAnsi="Calibri" w:eastAsia="Calibri"/>
                <w:b/>
                <w:color w:val="0B2545"/>
                <w:sz w:val="21"/>
              </w:rPr>
              <w:t xml:space="preserve">Điểm tổng hợp: </w:t>
            </w:r>
            <w:r>
              <w:rPr>
                <w:rFonts w:ascii="Calibri" w:hAnsi="Calibri" w:eastAsia="Calibri"/>
                <w:color w:val="000000"/>
                <w:sz w:val="21"/>
              </w:rPr>
              <w:t>8,3/10 - Thí điểm có kiểm soát trên LAN/NAS.</w:t>
            </w:r>
          </w:p>
        </w:tc>
      </w:tr>
    </w:tbl>
    <w:p>
      <w:pPr>
        <w:pStyle w:val="Heading1"/>
        <w:keepNext/>
      </w:pPr>
      <w:r>
        <w:t>8. Kế hoạch hành động</w:t>
      </w:r>
    </w:p>
    <w:p>
      <w:pPr>
        <w:pStyle w:val="Heading2"/>
        <w:keepNext/>
      </w:pPr>
      <w:r>
        <w:t>8.1. Trong 7 ngày</w:t>
      </w:r>
    </w:p>
    <w:p>
      <w:pPr>
        <w:numPr>
          <w:ilvl w:val="0"/>
          <w:numId w:val="10"/>
        </w:numPr>
        <w:spacing w:after="80" w:line="264" w:lineRule="auto"/>
      </w:pPr>
      <w:r>
        <w:rPr>
          <w:rFonts w:ascii="Calibri" w:hAnsi="Calibri" w:eastAsia="Calibri"/>
          <w:color w:val="000000"/>
          <w:sz w:val="22"/>
        </w:rPr>
        <w:t>Bật HTTPS ở môi trường thí điểm và kiểm tra cấu hình chứng chỉ.</w:t>
      </w:r>
    </w:p>
    <w:p>
      <w:pPr>
        <w:numPr>
          <w:ilvl w:val="0"/>
          <w:numId w:val="10"/>
        </w:numPr>
        <w:spacing w:after="80" w:line="264" w:lineRule="auto"/>
      </w:pPr>
      <w:r>
        <w:rPr>
          <w:rFonts w:ascii="Calibri" w:hAnsi="Calibri" w:eastAsia="Calibri"/>
          <w:color w:val="000000"/>
          <w:sz w:val="22"/>
        </w:rPr>
        <w:t>Khôi phục thử từ .bak và snapshot trên một DATA_DIR độc lập.</w:t>
      </w:r>
    </w:p>
    <w:p>
      <w:pPr>
        <w:numPr>
          <w:ilvl w:val="0"/>
          <w:numId w:val="10"/>
        </w:numPr>
        <w:spacing w:after="80" w:line="264" w:lineRule="auto"/>
      </w:pPr>
      <w:r>
        <w:rPr>
          <w:rFonts w:ascii="Calibri" w:hAnsi="Calibri" w:eastAsia="Calibri"/>
          <w:color w:val="000000"/>
          <w:sz w:val="22"/>
        </w:rPr>
        <w:t>Cập nhật README từ 36 thành 41 ca phân quyền thực tế.</w:t>
      </w:r>
    </w:p>
    <w:p>
      <w:pPr>
        <w:numPr>
          <w:ilvl w:val="0"/>
          <w:numId w:val="10"/>
        </w:numPr>
        <w:spacing w:after="80" w:line="264" w:lineRule="auto"/>
      </w:pPr>
      <w:r>
        <w:rPr>
          <w:rFonts w:ascii="Calibri" w:hAnsi="Calibri" w:eastAsia="Calibri"/>
          <w:color w:val="000000"/>
          <w:sz w:val="22"/>
        </w:rPr>
        <w:t>Khóa dependency runtime của gói phân phối và audit bản zip cuối cùng.</w:t>
      </w:r>
    </w:p>
    <w:p>
      <w:r>
        <w:br w:type="page"/>
      </w:r>
    </w:p>
    <w:p>
      <w:pPr>
        <w:pStyle w:val="Heading2"/>
        <w:keepNext/>
      </w:pPr>
      <w:r>
        <w:t>8.2. Trong 30 ngày</w:t>
      </w:r>
    </w:p>
    <w:p>
      <w:pPr>
        <w:numPr>
          <w:ilvl w:val="0"/>
          <w:numId w:val="10"/>
        </w:numPr>
        <w:spacing w:after="80" w:line="264" w:lineRule="auto"/>
      </w:pPr>
      <w:r>
        <w:rPr>
          <w:rFonts w:ascii="Calibri" w:hAnsi="Calibri" w:eastAsia="Calibri"/>
          <w:color w:val="000000"/>
          <w:sz w:val="22"/>
        </w:rPr>
        <w:t>Bổ sung test đồng bộ hai client, xung đột revision, finance/BOQ, upload và restore.</w:t>
      </w:r>
    </w:p>
    <w:p>
      <w:pPr>
        <w:numPr>
          <w:ilvl w:val="0"/>
          <w:numId w:val="10"/>
        </w:numPr>
        <w:spacing w:after="80" w:line="264" w:lineRule="auto"/>
      </w:pPr>
      <w:r>
        <w:rPr>
          <w:rFonts w:ascii="Calibri" w:hAnsi="Calibri" w:eastAsia="Calibri"/>
          <w:color w:val="000000"/>
          <w:sz w:val="22"/>
        </w:rPr>
        <w:t>Bắt đầu tách monolith theo domain nhưng giữ kiểm tra hash hai gói.</w:t>
      </w:r>
    </w:p>
    <w:p>
      <w:pPr>
        <w:numPr>
          <w:ilvl w:val="0"/>
          <w:numId w:val="10"/>
        </w:numPr>
        <w:spacing w:after="80" w:line="264" w:lineRule="auto"/>
      </w:pPr>
      <w:r>
        <w:rPr>
          <w:rFonts w:ascii="Calibri" w:hAnsi="Calibri" w:eastAsia="Calibri"/>
          <w:color w:val="000000"/>
          <w:sz w:val="22"/>
        </w:rPr>
        <w:t>Chạy thử tải với số người dùng/dự án dự kiến; đặt giới hạn kích thước state và tệp.</w:t>
      </w:r>
    </w:p>
    <w:p>
      <w:pPr>
        <w:numPr>
          <w:ilvl w:val="0"/>
          <w:numId w:val="10"/>
        </w:numPr>
        <w:spacing w:after="80" w:line="264" w:lineRule="auto"/>
      </w:pPr>
      <w:r>
        <w:rPr>
          <w:rFonts w:ascii="Calibri" w:hAnsi="Calibri" w:eastAsia="Calibri"/>
          <w:color w:val="000000"/>
          <w:sz w:val="22"/>
        </w:rPr>
        <w:t>Thiết kế lộ trình chuyển phiên từ localStorage sang cookie HttpOnly nếu phạm vi truy cập mở rộng.</w:t>
      </w:r>
    </w:p>
    <w:p>
      <w:pPr>
        <w:pStyle w:val="Heading1"/>
        <w:keepNext/>
      </w:pPr>
      <w:r>
        <w:t>9. Điều kiện phát hành</w:t>
      </w:r>
    </w:p>
    <w:p>
      <w:pPr>
        <w:spacing w:before="0" w:after="120" w:line="264" w:lineRule="auto"/>
      </w:pPr>
      <w:r>
        <w:rPr>
          <w:rFonts w:ascii="Calibri" w:hAnsi="Calibri" w:eastAsia="Calibri"/>
          <w:color w:val="000000"/>
        </w:rPr>
        <w:t>Có thể triển khai thí điểm trong LAN hoặc NAS sau khi bật HTTPS và diễn tập khôi phục dữ liệu. Chưa nên mở rộng toàn công ty trước khi bổ sung test nghiệp vụ, đồng bộ đa client và restore.</w:t>
      </w:r>
    </w:p>
    <w:p>
      <w:pPr>
        <w:pStyle w:val="Heading2"/>
        <w:keepNext/>
      </w:pPr>
      <w:r>
        <w:t>9.1. Giới hạn của đợt đánh giá</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4F6F9"/>
          </w:tcPr>
          <w:p>
            <w:pPr>
              <w:spacing w:before="0" w:after="0" w:line="264" w:lineRule="auto"/>
            </w:pPr>
            <w:r>
              <w:rPr>
                <w:rFonts w:ascii="Calibri" w:hAnsi="Calibri" w:eastAsia="Calibri"/>
                <w:b/>
                <w:color w:val="7A5A00"/>
                <w:sz w:val="21"/>
              </w:rPr>
              <w:t xml:space="preserve">Lưu ý: </w:t>
            </w:r>
            <w:r>
              <w:rPr>
                <w:rFonts w:ascii="Calibri" w:hAnsi="Calibri" w:eastAsia="Calibri"/>
                <w:color w:val="000000"/>
                <w:sz w:val="21"/>
              </w:rPr>
              <w:t>Đợt đánh giá đã chạy build và 49 test hiện có. Chưa thực hiện pentest, test tải dài hạn, kiểm thử trình duyệt end-to-end hoặc phục hồi dữ liệu trên thiết bị NAS thật.</w:t>
            </w:r>
          </w:p>
        </w:tc>
      </w:tr>
    </w:tbl>
    <w:p>
      <w:pPr>
        <w:pStyle w:val="Heading1"/>
        <w:keepNext/>
      </w:pPr>
      <w:r>
        <w:t>10. Kết luận cuối</w:t>
      </w:r>
    </w:p>
    <w:p>
      <w:pPr>
        <w:spacing w:before="0" w:after="120" w:line="264" w:lineRule="auto"/>
      </w:pPr>
      <w:r>
        <w:rPr>
          <w:rFonts w:ascii="Calibri" w:hAnsi="Calibri" w:eastAsia="Calibri"/>
          <w:color w:val="000000"/>
        </w:rPr>
        <w:t>Trạm Dự Án cân bằng tốt giữa chức năng, phân quyền, giấy phép, sao lưu và khả năng bàn giao. Build đạt, 49/49 ca phân quyền/giấy phép đạt và hai gói nội bộ/NAS đồng nhất. Rủi ro chính là mã nguồn nguyên khối và phạm vi kiểm thử hiện tập trung quá nhiều vào auth/license.</w:t>
      </w:r>
    </w:p>
    <w:p>
      <w:pPr>
        <w:spacing w:before="120" w:after="0" w:line="240" w:lineRule="auto"/>
        <w:jc w:val="right"/>
      </w:pPr>
      <w:r>
        <w:rPr>
          <w:rFonts w:ascii="Calibri" w:hAnsi="Calibri" w:eastAsia="Calibri"/>
          <w:i/>
          <w:color w:val="606770"/>
          <w:sz w:val="19"/>
        </w:rPr>
        <w:t>Kết thúc báo cáo</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606770"/>
        <w:sz w:val="18"/>
      </w:rPr>
      <w:t xml:space="preserve">17/08/2026  |  Trang </w:t>
    </w:r>
    <w:r>
      <w:rPr>
        <w:rFonts w:ascii="Calibri" w:hAnsi="Calibri" w:eastAsia="Calibri"/>
        <w:color w:val="60677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606770"/>
        <w:sz w:val="18"/>
      </w:rPr>
      <w:t xml:space="preserve">17/08/2026  |  Trang </w:t>
    </w:r>
    <w:r>
      <w:rPr>
        <w:rFonts w:ascii="Calibri" w:hAnsi="Calibri" w:eastAsia="Calibri"/>
        <w:color w:val="6067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spacing w:after="160" w:line="280" w:lineRule="auto"/>
      </w:p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40" w:lineRule="auto"/>
    </w:pPr>
    <w:rPr>
      <w:rFonts w:asciiTheme="majorHAnsi" w:eastAsiaTheme="majorEastAsia" w:hAnsiTheme="majorHAnsi" w:cstheme="majorBidi" w:ascii="Calibri" w:hAnsi="Calibri" w:eastAsia="Calibri"/>
      <w:b w:val="0"/>
      <w:i/>
      <w:iCs/>
      <w:color w:val="60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Trạm Dự Án</dc:title>
  <dc:subject>Đánh giá kỹ thuật, bảo mật, kiểm thử và mức sẵn sàng triển khai</dc:subject>
  <dc:creator>Codex</dc:creator>
  <cp:keywords/>
  <dc:description>Đánh giá tại thời điểm 17/08/2026</dc:description>
  <cp:lastModifiedBy/>
  <cp:revision>1</cp:revision>
  <dcterms:created xsi:type="dcterms:W3CDTF">2013-12-23T23:15:00Z</dcterms:created>
  <dcterms:modified xsi:type="dcterms:W3CDTF">2013-12-23T23:15:00Z</dcterms:modified>
  <cp:category/>
</cp:coreProperties>
</file>