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Umsatzverantwortung für den Produktbereich Kettenwirken mit einem Umsatzvolumen von bis zu 27 Mio. Euro jährlich,</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w:t>
      </w:r>
    </w:p>
    <w:p>
      <w:pPr>
        <w:spacing w:after="240" w:line="276"/>
        <w:jc w:val="both"/>
      </w:pPr>
      <w:r>
        <w:rPr>
          <w:rFonts w:ascii="Arial" w:cs="Arial" w:eastAsia="Arial" w:hAnsi="Arial"/>
          <w:sz w:val="22"/>
          <w:szCs w:val="22"/>
        </w:rPr>
        <w:t xml:space="preserve">Über sein Tagesgeschäft hinaus brachte sich Herr Maier in mehreren bereichsübergreifenden Projekten ein. Er baute die Zusammenarbeit mit einem führenden Textilmaschinenhersteller zu einer strategischen Kooperation aus [DETAIL OEM-KOOPERATION]. Ferner initiierte und konzipierte er eine eigene CRM-Anwendung, mit der Kundenbedürfnisse systematisch erfasst und für die Vertriebs- und Produktplanung nutzbar gemacht werden [DETAIL CRM]. Darüber hinaus unterstützte er maßgeblich den Aufbau des neuen B2B-Portals mit integriertem Onlineshop und Händlerfunktion [DETAIL PORTAL].</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2026-08-22T18:33:30.585Z</dcterms:created>
  <dcterms:modified xsi:type="dcterms:W3CDTF">2026-08-22T18:33:30.585Z</dcterms:modified>
</cp:coreProperties>
</file>

<file path=docProps/custom.xml><?xml version="1.0" encoding="utf-8"?>
<Properties xmlns="http://schemas.openxmlformats.org/officeDocument/2006/custom-properties" xmlns:vt="http://schemas.openxmlformats.org/officeDocument/2006/docPropsVTypes"/>
</file>