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>JG的反市場報告書</w:t>
      </w:r>
    </w:p>
    <w:p/>
    <w:p>
      <w:pPr>
        <w:jc w:val="center"/>
      </w:pPr>
      <w:r>
        <w:rPr>
          <w:rFonts w:ascii="Arial" w:hAnsi="Arial"/>
          <w:sz w:val="36"/>
        </w:rPr>
        <w:t>深度研究系列 — 五檔反市場精選個股</w:t>
      </w:r>
    </w:p>
    <w:p/>
    <w:p/>
    <w:p>
      <w:pPr>
        <w:jc w:val="center"/>
      </w:pPr>
      <w:r>
        <w:rPr>
          <w:rFonts w:ascii="Arial" w:hAnsi="Arial"/>
          <w:sz w:val="28"/>
        </w:rPr>
        <w:t>2026年2月19日</w:t>
      </w:r>
    </w:p>
    <w:p>
      <w:r>
        <w:br w:type="page"/>
      </w:r>
    </w:p>
    <w:p>
      <w:pPr>
        <w:pStyle w:val="Heading1"/>
      </w:pPr>
      <w:r>
        <w:t>目錄 (Table of Contents)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Arial" w:hAnsi="Arial"/>
                <w:sz w:val="24"/>
              </w:rPr>
              <w:t>公司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4"/>
              </w:rPr>
              <w:t>頁碼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4"/>
              </w:rPr>
              <w:t>GOOGL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4"/>
              </w:rPr>
              <w:t>第 3 頁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4"/>
              </w:rPr>
              <w:t>PLTR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4"/>
              </w:rPr>
              <w:t>第 19 頁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4"/>
              </w:rPr>
              <w:t>RKLB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4"/>
              </w:rPr>
              <w:t>第 30 頁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4"/>
              </w:rPr>
              <w:t>AMD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4"/>
              </w:rPr>
              <w:t>第 42 頁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4"/>
              </w:rPr>
              <w:t>ARES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4"/>
              </w:rPr>
              <w:t>第 53 頁</w:t>
            </w:r>
          </w:p>
        </w:tc>
      </w:tr>
    </w:tbl>
    <w:p/>
    <w:p>
      <w:r>
        <w:rPr>
          <w:rFonts w:ascii="Arial" w:hAnsi="Arial"/>
          <w:i/>
          <w:sz w:val="20"/>
        </w:rPr>
        <w:t>本版新增：資本支出應用場景白話解釋、每家公司競爭對手比較（2026差異）、投資結論改為『最大優勢/最大難處』。</w:t>
      </w:r>
    </w:p>
    <w:p>
      <w:r>
        <w:br w:type="page"/>
      </w:r>
    </w:p>
    <w:p>
      <w:pPr>
        <w:pStyle w:val="Heading2"/>
      </w:pPr>
      <w:r>
        <w:t>2026年2月19日</w:t>
      </w:r>
    </w:p>
    <w:p>
      <w:pPr>
        <w:pStyle w:val="Heading2"/>
      </w:pPr>
      <w:r>
        <w:t>目錄 (Table of Contents)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Arial" w:hAnsi="Arial"/>
                <w:b/>
                <w:sz w:val="22"/>
              </w:rPr>
              <w:t>公司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sz w:val="22"/>
              </w:rPr>
              <w:t>頁碼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GOOGL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第 3 頁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PLTR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第 19 頁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RKLB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第 30 頁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AMD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第 42 頁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ARES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第 53 頁</w:t>
            </w:r>
          </w:p>
        </w:tc>
      </w:tr>
    </w:tbl>
    <w:p>
      <w:pPr/>
      <w:r>
        <w:rPr>
          <w:rFonts w:ascii="Arial" w:hAnsi="Arial"/>
          <w:sz w:val="24"/>
        </w:rPr>
        <w:t>本版新增：資本支出應用場景白話解釋、每家公司競爭對手比較（2026差異）、投資結論改為『最大優勢/最大難處』。</w:t>
      </w:r>
    </w:p>
    <w:p>
      <w:r>
        <w:br w:type="page"/>
      </w:r>
    </w:p>
    <w:p>
      <w:pPr>
        <w:pStyle w:val="Heading2"/>
      </w:pPr>
      <w:r>
        <w:t>第一部：GOOGL</w:t>
      </w:r>
    </w:p>
    <w:p>
      <w:pPr>
        <w:pStyle w:val="Heading1"/>
      </w:pPr>
      <w:r>
        <w:t>GOOGL (Alphabet Inc.) 投資深度研究報告</w:t>
      </w:r>
    </w:p>
    <w:p>
      <w:pPr/>
      <w:r>
        <w:rPr>
          <w:rFonts w:ascii="Arial" w:hAnsi="Arial"/>
          <w:b/>
          <w:sz w:val="24"/>
        </w:rPr>
        <w:t>報告日期:</w:t>
      </w:r>
      <w:r>
        <w:rPr>
          <w:rFonts w:ascii="Arial" w:hAnsi="Arial"/>
          <w:sz w:val="24"/>
        </w:rPr>
        <w:t xml:space="preserve"> 2026年2月19日</w:t>
      </w:r>
    </w:p>
    <w:p>
      <w:pPr/>
      <w:r>
        <w:rPr>
          <w:rFonts w:ascii="Arial" w:hAnsi="Arial"/>
          <w:b/>
          <w:sz w:val="24"/>
        </w:rPr>
        <w:t>當前股價:</w:t>
      </w:r>
      <w:r>
        <w:rPr>
          <w:rFonts w:ascii="Arial" w:hAnsi="Arial"/>
          <w:sz w:val="24"/>
        </w:rPr>
        <w:t xml:space="preserve"> $303.33 USD</w:t>
      </w:r>
    </w:p>
    <w:p>
      <w:pPr/>
      <w:r>
        <w:rPr>
          <w:rFonts w:ascii="Arial" w:hAnsi="Arial"/>
          <w:b/>
          <w:sz w:val="24"/>
        </w:rPr>
        <w:t>市值:</w:t>
      </w:r>
      <w:r>
        <w:rPr>
          <w:rFonts w:ascii="Arial" w:hAnsi="Arial"/>
          <w:sz w:val="24"/>
        </w:rPr>
        <w:t xml:space="preserve"> $3.67兆美元</w:t>
      </w:r>
    </w:p>
    <w:p>
      <w:pPr/>
      <w:r>
        <w:rPr>
          <w:rFonts w:ascii="Arial" w:hAnsi="Arial"/>
          <w:b/>
          <w:sz w:val="24"/>
        </w:rPr>
        <w:t>資料來源:</w:t>
      </w:r>
      <w:r>
        <w:rPr>
          <w:rFonts w:ascii="Arial" w:hAnsi="Arial"/>
          <w:sz w:val="24"/>
        </w:rPr>
        <w:t xml:space="preserve"> FMP, Yahoo Finance, CNBC, 公司財報</w:t>
      </w:r>
    </w:p>
    <w:p>
      <w:r>
        <w:t>__________________________________________________</w:t>
      </w:r>
    </w:p>
    <w:p>
      <w:pPr>
        <w:pStyle w:val="Heading2"/>
      </w:pPr>
      <w:r>
        <w:t>一、公司概況</w:t>
      </w:r>
    </w:p>
    <w:p>
      <w:pPr/>
      <w:r>
        <w:rPr>
          <w:rFonts w:ascii="Arial" w:hAnsi="Arial"/>
          <w:b/>
          <w:sz w:val="24"/>
        </w:rPr>
        <w:t>公司名稱:</w:t>
      </w:r>
      <w:r>
        <w:rPr>
          <w:rFonts w:ascii="Arial" w:hAnsi="Arial"/>
          <w:sz w:val="24"/>
        </w:rPr>
        <w:t xml:space="preserve"> Alphabet Inc.</w:t>
      </w:r>
    </w:p>
    <w:p>
      <w:pPr/>
      <w:r>
        <w:rPr>
          <w:rFonts w:ascii="Arial" w:hAnsi="Arial"/>
          <w:b/>
          <w:sz w:val="24"/>
        </w:rPr>
        <w:t>股票代碼:</w:t>
      </w:r>
      <w:r>
        <w:rPr>
          <w:rFonts w:ascii="Arial" w:hAnsi="Arial"/>
          <w:sz w:val="24"/>
        </w:rPr>
        <w:t xml:space="preserve"> GOOGL (NASDAQ)</w:t>
      </w:r>
    </w:p>
    <w:p>
      <w:pPr/>
      <w:r>
        <w:rPr>
          <w:rFonts w:ascii="Arial" w:hAnsi="Arial"/>
          <w:b/>
          <w:sz w:val="24"/>
        </w:rPr>
        <w:t>總部:</w:t>
      </w:r>
      <w:r>
        <w:rPr>
          <w:rFonts w:ascii="Arial" w:hAnsi="Arial"/>
          <w:sz w:val="24"/>
        </w:rPr>
        <w:t xml:space="preserve"> 美國加州 Mountain View</w:t>
      </w:r>
    </w:p>
    <w:p>
      <w:pPr/>
      <w:r>
        <w:rPr>
          <w:rFonts w:ascii="Arial" w:hAnsi="Arial"/>
          <w:b/>
          <w:sz w:val="24"/>
        </w:rPr>
        <w:t>CEO:</w:t>
      </w:r>
      <w:r>
        <w:rPr>
          <w:rFonts w:ascii="Arial" w:hAnsi="Arial"/>
          <w:sz w:val="24"/>
        </w:rPr>
        <w:t xml:space="preserve"> Sundar Pichai</w:t>
      </w:r>
    </w:p>
    <w:p>
      <w:pPr/>
      <w:r>
        <w:rPr>
          <w:rFonts w:ascii="Arial" w:hAnsi="Arial"/>
          <w:b/>
          <w:sz w:val="24"/>
        </w:rPr>
        <w:t>員工數:</w:t>
      </w:r>
      <w:r>
        <w:rPr>
          <w:rFonts w:ascii="Arial" w:hAnsi="Arial"/>
          <w:sz w:val="24"/>
        </w:rPr>
        <w:t xml:space="preserve"> 190,820人 (截至2025年底)</w:t>
      </w:r>
    </w:p>
    <w:p>
      <w:pPr/>
      <w:r>
        <w:rPr>
          <w:rFonts w:ascii="Arial" w:hAnsi="Arial"/>
          <w:b/>
          <w:sz w:val="24"/>
        </w:rPr>
        <w:t>成立時間:</w:t>
      </w:r>
      <w:r>
        <w:rPr>
          <w:rFonts w:ascii="Arial" w:hAnsi="Arial"/>
          <w:sz w:val="24"/>
        </w:rPr>
        <w:t xml:space="preserve"> 1998年 (Google), 2015年重組為Alphabet</w:t>
      </w:r>
    </w:p>
    <w:p>
      <w:pPr/>
      <w:r>
        <w:rPr>
          <w:rFonts w:ascii="Arial" w:hAnsi="Arial"/>
          <w:b/>
          <w:sz w:val="24"/>
        </w:rPr>
        <w:t>上市日期:</w:t>
      </w:r>
      <w:r>
        <w:rPr>
          <w:rFonts w:ascii="Arial" w:hAnsi="Arial"/>
          <w:sz w:val="24"/>
        </w:rPr>
        <w:t xml:space="preserve"> 2004年8月19日</w:t>
      </w:r>
    </w:p>
    <w:p>
      <w:pPr>
        <w:pStyle w:val="Heading3"/>
      </w:pPr>
      <w:r>
        <w:t>業務架構</w:t>
      </w:r>
    </w:p>
    <w:p>
      <w:pPr/>
      <w:r>
        <w:rPr>
          <w:rFonts w:ascii="Arial" w:hAnsi="Arial"/>
          <w:sz w:val="24"/>
        </w:rPr>
        <w:t>Alphabet 透過三大業務板塊運營:</w:t>
      </w:r>
    </w:p>
    <w:p>
      <w:pPr>
        <w:pStyle w:val="ListNumber"/>
      </w:pPr>
      <w:r>
        <w:rPr>
          <w:rFonts w:ascii="Arial" w:hAnsi="Arial"/>
          <w:b/>
          <w:sz w:val="24"/>
        </w:rPr>
        <w:t>Google Services (約90%營收)</w:t>
      </w:r>
    </w:p>
    <w:p>
      <w:pPr/>
      <w:r>
        <w:rPr>
          <w:rFonts w:ascii="Arial" w:hAnsi="Arial"/>
          <w:sz w:val="24"/>
        </w:rPr>
        <w:t xml:space="preserve">   - 廣告業務 (Google Search, YouTube Ads, Google Network)</w:t>
      </w:r>
    </w:p>
    <w:p>
      <w:pPr/>
      <w:r>
        <w:rPr>
          <w:rFonts w:ascii="Arial" w:hAnsi="Arial"/>
          <w:sz w:val="24"/>
        </w:rPr>
        <w:t xml:space="preserve">   - 訂閱服務 (YouTube Premium, YouTube TV, YouTube Music, Google One)</w:t>
      </w:r>
    </w:p>
    <w:p>
      <w:pPr/>
      <w:r>
        <w:rPr>
          <w:rFonts w:ascii="Arial" w:hAnsi="Arial"/>
          <w:sz w:val="24"/>
        </w:rPr>
        <w:t xml:space="preserve">   - Google Play (應用商店及應用內購買)</w:t>
      </w:r>
    </w:p>
    <w:p>
      <w:pPr/>
      <w:r>
        <w:rPr>
          <w:rFonts w:ascii="Arial" w:hAnsi="Arial"/>
          <w:sz w:val="24"/>
        </w:rPr>
        <w:t xml:space="preserve">   - 硬體設備 (Pixel手機, Nest智慧家居, Fitbit穿戴裝置)</w:t>
      </w:r>
    </w:p>
    <w:p>
      <w:pPr>
        <w:pStyle w:val="ListNumber"/>
      </w:pPr>
      <w:r>
        <w:rPr>
          <w:rFonts w:ascii="Arial" w:hAnsi="Arial"/>
          <w:b/>
          <w:sz w:val="24"/>
        </w:rPr>
        <w:t>Google Cloud (約10%營收)</w:t>
      </w:r>
    </w:p>
    <w:p>
      <w:pPr/>
      <w:r>
        <w:rPr>
          <w:rFonts w:ascii="Arial" w:hAnsi="Arial"/>
          <w:sz w:val="24"/>
        </w:rPr>
        <w:t xml:space="preserve">   - AI解決方案 (AI基礎設施, Vertex AI平台, Gemini企業版)</w:t>
      </w:r>
    </w:p>
    <w:p>
      <w:pPr/>
      <w:r>
        <w:rPr>
          <w:rFonts w:ascii="Arial" w:hAnsi="Arial"/>
          <w:sz w:val="24"/>
        </w:rPr>
        <w:t xml:space="preserve">   - 雲端運算基礎設施 (IaaS, PaaS)</w:t>
      </w:r>
    </w:p>
    <w:p>
      <w:pPr/>
      <w:r>
        <w:rPr>
          <w:rFonts w:ascii="Arial" w:hAnsi="Arial"/>
          <w:sz w:val="24"/>
        </w:rPr>
        <w:t xml:space="preserve">   - Google Workspace (Gmail, Docs, Drive, Calendar, Meet等企業協作工具)</w:t>
      </w:r>
    </w:p>
    <w:p>
      <w:pPr/>
      <w:r>
        <w:rPr>
          <w:rFonts w:ascii="Arial" w:hAnsi="Arial"/>
          <w:sz w:val="24"/>
        </w:rPr>
        <w:t xml:space="preserve">   - 網路安全及數據分析服務</w:t>
      </w:r>
    </w:p>
    <w:p>
      <w:pPr>
        <w:pStyle w:val="ListNumber"/>
      </w:pPr>
      <w:r>
        <w:rPr>
          <w:rFonts w:ascii="Arial" w:hAnsi="Arial"/>
          <w:b/>
          <w:sz w:val="24"/>
        </w:rPr>
        <w:t>Other Bets (&lt;1%營收)</w:t>
      </w:r>
    </w:p>
    <w:p>
      <w:pPr/>
      <w:r>
        <w:rPr>
          <w:rFonts w:ascii="Arial" w:hAnsi="Arial"/>
          <w:sz w:val="24"/>
        </w:rPr>
        <w:t xml:space="preserve">   - Waymo (自動駕駛)</w:t>
      </w:r>
    </w:p>
    <w:p>
      <w:pPr/>
      <w:r>
        <w:rPr>
          <w:rFonts w:ascii="Arial" w:hAnsi="Arial"/>
          <w:sz w:val="24"/>
        </w:rPr>
        <w:t xml:space="preserve">   - Verily (健康科技)</w:t>
      </w:r>
    </w:p>
    <w:p>
      <w:pPr/>
      <w:r>
        <w:rPr>
          <w:rFonts w:ascii="Arial" w:hAnsi="Arial"/>
          <w:sz w:val="24"/>
        </w:rPr>
        <w:t xml:space="preserve">   - Google Fiber (網路服務)</w:t>
      </w:r>
    </w:p>
    <w:p>
      <w:pPr/>
      <w:r>
        <w:rPr>
          <w:rFonts w:ascii="Arial" w:hAnsi="Arial"/>
          <w:sz w:val="24"/>
        </w:rPr>
        <w:t xml:space="preserve">   - 其他實驗性項目</w:t>
      </w:r>
    </w:p>
    <w:p>
      <w:r>
        <w:t>__________________________________________________</w:t>
      </w:r>
    </w:p>
    <w:p>
      <w:pPr>
        <w:pStyle w:val="Heading2"/>
      </w:pPr>
      <w:r>
        <w:t>二、2025財年完整財務表現 (已公布)</w:t>
      </w:r>
    </w:p>
    <w:p>
      <w:pPr>
        <w:pStyle w:val="Heading3"/>
      </w:pPr>
      <w:r>
        <w:t>2.1 整體營收與獲利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指標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2025年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2024年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YoY成長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**營收**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$402.96B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$350.02B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**+15.1%**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**營業收入**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$129.17B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$112.39B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**+14.9%**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**淨利潤**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$132.17B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$100.12B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**+32.0%**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**稀釋EPS**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$10.81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$8.04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**+34.5%**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**營業利潤率**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32.1%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32.1%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持平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**淨利潤率**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32.8%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28.6%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**+420 bps**</w:t>
            </w:r>
          </w:p>
        </w:tc>
      </w:tr>
    </w:tbl>
    <w:p>
      <w:pPr/>
      <w:r>
        <w:rPr>
          <w:rFonts w:ascii="Arial" w:hAnsi="Arial"/>
          <w:b/>
          <w:sz w:val="24"/>
        </w:rPr>
        <w:t>亮點分析:</w:t>
      </w:r>
    </w:p>
    <w:p>
      <w:pPr>
        <w:pStyle w:val="ListBullet"/>
      </w:pPr>
      <w:r>
        <w:rPr>
          <w:rFonts w:ascii="Arial" w:hAnsi="Arial"/>
          <w:sz w:val="24"/>
        </w:rPr>
        <w:t>營收首次突破4000億美元大關,成長動能強勁</w:t>
      </w:r>
    </w:p>
    <w:p>
      <w:pPr>
        <w:pStyle w:val="ListBullet"/>
      </w:pPr>
      <w:r>
        <w:rPr>
          <w:rFonts w:ascii="Arial" w:hAnsi="Arial"/>
          <w:sz w:val="24"/>
        </w:rPr>
        <w:t>淨利潤成長32%,顯著超越營收成長率 (槓桿效應展現)</w:t>
      </w:r>
    </w:p>
    <w:p>
      <w:pPr>
        <w:pStyle w:val="ListBullet"/>
      </w:pPr>
      <w:r>
        <w:rPr>
          <w:rFonts w:ascii="Arial" w:hAnsi="Arial"/>
          <w:sz w:val="24"/>
        </w:rPr>
        <w:t>淨利潤率提升至32.8%,反映營運效率改善與高利潤業務佔比提升</w:t>
      </w:r>
    </w:p>
    <w:p>
      <w:pPr>
        <w:pStyle w:val="Heading3"/>
      </w:pPr>
      <w:r>
        <w:t>2.2 季度營收趨勢 (2024-2025)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季度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營收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QoQ成長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YoY成長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2024 Q1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$80.54B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2024 Q2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$84.74B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+5.2%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2024 Q3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$88.27B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+4.2%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2024 Q4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$96.47B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+9.3%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**2025 Q1**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$90.23B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-6.5%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**+12.0%**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**2025 Q2**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$96.43B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+6.9%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**+13.8%**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**2025 Q3**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$102.35B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+6.1%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**+15.9%**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**2025 Q4**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$113.90B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**+11.3%**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**+18.0%**</w:t>
            </w:r>
          </w:p>
        </w:tc>
      </w:tr>
    </w:tbl>
    <w:p>
      <w:pPr/>
      <w:r>
        <w:rPr>
          <w:rFonts w:ascii="Arial" w:hAnsi="Arial"/>
          <w:b/>
          <w:sz w:val="24"/>
        </w:rPr>
        <w:t>關鍵發現:</w:t>
      </w:r>
    </w:p>
    <w:p>
      <w:pPr>
        <w:pStyle w:val="ListBullet"/>
      </w:pPr>
      <w:r>
        <w:rPr>
          <w:rFonts w:ascii="Arial" w:hAnsi="Arial"/>
          <w:b/>
          <w:sz w:val="24"/>
        </w:rPr>
        <w:t>加速成長趨勢明顯:</w:t>
      </w:r>
      <w:r>
        <w:rPr>
          <w:rFonts w:ascii="Arial" w:hAnsi="Arial"/>
          <w:sz w:val="24"/>
        </w:rPr>
        <w:t xml:space="preserve"> Q4達到$113.90B,創單季營收歷史新高</w:t>
      </w:r>
    </w:p>
    <w:p>
      <w:pPr>
        <w:pStyle w:val="ListBullet"/>
      </w:pPr>
      <w:r>
        <w:rPr>
          <w:rFonts w:ascii="Arial" w:hAnsi="Arial"/>
          <w:b/>
          <w:sz w:val="24"/>
        </w:rPr>
        <w:t>環比成長強勁:</w:t>
      </w:r>
      <w:r>
        <w:rPr>
          <w:rFonts w:ascii="Arial" w:hAnsi="Arial"/>
          <w:sz w:val="24"/>
        </w:rPr>
        <w:t xml:space="preserve"> Q4環比成長11.3%,顯示商業動能持續加速</w:t>
      </w:r>
    </w:p>
    <w:p>
      <w:pPr>
        <w:pStyle w:val="ListBullet"/>
      </w:pPr>
      <w:r>
        <w:rPr>
          <w:rFonts w:ascii="Arial" w:hAnsi="Arial"/>
          <w:b/>
          <w:sz w:val="24"/>
        </w:rPr>
        <w:t>同比成長擴大:</w:t>
      </w:r>
      <w:r>
        <w:rPr>
          <w:rFonts w:ascii="Arial" w:hAnsi="Arial"/>
          <w:sz w:val="24"/>
        </w:rPr>
        <w:t xml:space="preserve"> 從Q1的12%加速到Q4的18%</w:t>
      </w:r>
    </w:p>
    <w:p>
      <w:r>
        <w:t>__________________________________________________</w:t>
      </w:r>
    </w:p>
    <w:p>
      <w:pPr>
        <w:pStyle w:val="Heading2"/>
      </w:pPr>
      <w:r>
        <w:t>三、業務板塊詳細拆解</w:t>
      </w:r>
    </w:p>
    <w:p>
      <w:pPr>
        <w:pStyle w:val="Heading3"/>
      </w:pPr>
      <w:r>
        <w:t>3.1 Google Services (核心廣告+訂閱業務)</w:t>
      </w:r>
    </w:p>
    <w:p>
      <w:pPr/>
      <w:r>
        <w:rPr>
          <w:rFonts w:ascii="Arial" w:hAnsi="Arial"/>
          <w:b/>
          <w:sz w:val="24"/>
        </w:rPr>
        <w:t>2025年預估營收:</w:t>
      </w:r>
      <w:r>
        <w:rPr>
          <w:rFonts w:ascii="Arial" w:hAnsi="Arial"/>
          <w:sz w:val="24"/>
        </w:rPr>
        <w:t xml:space="preserve"> 約$360B (占總營收89%)</w:t>
      </w:r>
    </w:p>
    <w:p>
      <w:pPr/>
      <w:r>
        <w:rPr>
          <w:rFonts w:ascii="Arial" w:hAnsi="Arial"/>
          <w:sz w:val="24"/>
        </w:rPr>
        <w:t>#### 細分項目:</w:t>
      </w:r>
    </w:p>
    <w:p>
      <w:pPr/>
      <w:r>
        <w:rPr>
          <w:rFonts w:ascii="Arial" w:hAnsi="Arial"/>
          <w:b/>
          <w:sz w:val="24"/>
        </w:rPr>
        <w:t>1. Google Search &amp; Other Advertising</w:t>
      </w:r>
    </w:p>
    <w:p>
      <w:pPr>
        <w:pStyle w:val="ListBullet"/>
      </w:pPr>
      <w:r>
        <w:rPr>
          <w:rFonts w:ascii="Arial" w:hAnsi="Arial"/>
          <w:sz w:val="24"/>
        </w:rPr>
        <w:t>預估營收: ~$210B</w:t>
      </w:r>
    </w:p>
    <w:p>
      <w:pPr>
        <w:pStyle w:val="ListBullet"/>
      </w:pPr>
      <w:r>
        <w:rPr>
          <w:rFonts w:ascii="Arial" w:hAnsi="Arial"/>
          <w:sz w:val="24"/>
        </w:rPr>
        <w:t>成長驅動因素:</w:t>
      </w:r>
    </w:p>
    <w:p>
      <w:pPr/>
      <w:r>
        <w:rPr>
          <w:rFonts w:ascii="Arial" w:hAnsi="Arial"/>
          <w:sz w:val="24"/>
        </w:rPr>
        <w:t xml:space="preserve">  - AI Overviews (AI摘要)逐步整合至搜尋結果</w:t>
      </w:r>
    </w:p>
    <w:p>
      <w:pPr/>
      <w:r>
        <w:rPr>
          <w:rFonts w:ascii="Arial" w:hAnsi="Arial"/>
          <w:sz w:val="24"/>
        </w:rPr>
        <w:t xml:space="preserve">  - 電商廣告需求持續強勁</w:t>
      </w:r>
    </w:p>
    <w:p>
      <w:pPr/>
      <w:r>
        <w:rPr>
          <w:rFonts w:ascii="Arial" w:hAnsi="Arial"/>
          <w:sz w:val="24"/>
        </w:rPr>
        <w:t xml:space="preserve">  - 移動端搜尋廣告單價提升</w:t>
      </w:r>
    </w:p>
    <w:p>
      <w:pPr/>
      <w:r>
        <w:rPr>
          <w:rFonts w:ascii="Arial" w:hAnsi="Arial"/>
          <w:b/>
          <w:sz w:val="24"/>
        </w:rPr>
        <w:t>2. YouTube Ads</w:t>
      </w:r>
    </w:p>
    <w:p>
      <w:pPr>
        <w:pStyle w:val="ListBullet"/>
      </w:pPr>
      <w:r>
        <w:rPr>
          <w:rFonts w:ascii="Arial" w:hAnsi="Arial"/>
          <w:sz w:val="24"/>
        </w:rPr>
        <w:t>預估營收: ~$38B</w:t>
      </w:r>
    </w:p>
    <w:p>
      <w:pPr>
        <w:pStyle w:val="ListBullet"/>
      </w:pPr>
      <w:r>
        <w:rPr>
          <w:rFonts w:ascii="Arial" w:hAnsi="Arial"/>
          <w:sz w:val="24"/>
        </w:rPr>
        <w:t>成長動能:</w:t>
      </w:r>
    </w:p>
    <w:p>
      <w:pPr/>
      <w:r>
        <w:rPr>
          <w:rFonts w:ascii="Arial" w:hAnsi="Arial"/>
          <w:sz w:val="24"/>
        </w:rPr>
        <w:t xml:space="preserve">  - Shorts短影片廣告營利化加速</w:t>
      </w:r>
    </w:p>
    <w:p>
      <w:pPr/>
      <w:r>
        <w:rPr>
          <w:rFonts w:ascii="Arial" w:hAnsi="Arial"/>
          <w:sz w:val="24"/>
        </w:rPr>
        <w:t xml:space="preserve">  - Connected TV廣告高速成長</w:t>
      </w:r>
    </w:p>
    <w:p>
      <w:pPr/>
      <w:r>
        <w:rPr>
          <w:rFonts w:ascii="Arial" w:hAnsi="Arial"/>
          <w:sz w:val="24"/>
        </w:rPr>
        <w:t xml:space="preserve">  - 品牌廣告需求復甦</w:t>
      </w:r>
    </w:p>
    <w:p>
      <w:pPr/>
      <w:r>
        <w:rPr>
          <w:rFonts w:ascii="Arial" w:hAnsi="Arial"/>
          <w:b/>
          <w:sz w:val="24"/>
        </w:rPr>
        <w:t>3. Google Network (AdSense &amp; AdMob)</w:t>
      </w:r>
    </w:p>
    <w:p>
      <w:pPr>
        <w:pStyle w:val="ListBullet"/>
      </w:pPr>
      <w:r>
        <w:rPr>
          <w:rFonts w:ascii="Arial" w:hAnsi="Arial"/>
          <w:sz w:val="24"/>
        </w:rPr>
        <w:t>預估營收: ~$32B</w:t>
      </w:r>
    </w:p>
    <w:p>
      <w:pPr>
        <w:pStyle w:val="ListBullet"/>
      </w:pPr>
      <w:r>
        <w:rPr>
          <w:rFonts w:ascii="Arial" w:hAnsi="Arial"/>
          <w:sz w:val="24"/>
        </w:rPr>
        <w:t>趨勢: 成長放緩,因程序化廣告競爭加劇</w:t>
      </w:r>
    </w:p>
    <w:p>
      <w:pPr/>
      <w:r>
        <w:rPr>
          <w:rFonts w:ascii="Arial" w:hAnsi="Arial"/>
          <w:b/>
          <w:sz w:val="24"/>
        </w:rPr>
        <w:t>4. 訂閱與其他服務</w:t>
      </w:r>
    </w:p>
    <w:p>
      <w:pPr>
        <w:pStyle w:val="ListBullet"/>
      </w:pPr>
      <w:r>
        <w:rPr>
          <w:rFonts w:ascii="Arial" w:hAnsi="Arial"/>
          <w:sz w:val="24"/>
        </w:rPr>
        <w:t>預估營收: ~$45B (+20% YoY)</w:t>
      </w:r>
    </w:p>
    <w:p>
      <w:pPr>
        <w:pStyle w:val="ListBullet"/>
      </w:pPr>
      <w:r>
        <w:rPr>
          <w:rFonts w:ascii="Arial" w:hAnsi="Arial"/>
          <w:sz w:val="24"/>
        </w:rPr>
        <w:t>包含:</w:t>
      </w:r>
    </w:p>
    <w:p>
      <w:pPr/>
      <w:r>
        <w:rPr>
          <w:rFonts w:ascii="Arial" w:hAnsi="Arial"/>
          <w:sz w:val="24"/>
        </w:rPr>
        <w:t xml:space="preserve">  - YouTube Premium/TV/Music訂閱 (快速成長)</w:t>
      </w:r>
    </w:p>
    <w:p>
      <w:pPr/>
      <w:r>
        <w:rPr>
          <w:rFonts w:ascii="Arial" w:hAnsi="Arial"/>
          <w:sz w:val="24"/>
        </w:rPr>
        <w:t xml:space="preserve">  - Google One雲端儲存訂閱</w:t>
      </w:r>
    </w:p>
    <w:p>
      <w:pPr/>
      <w:r>
        <w:rPr>
          <w:rFonts w:ascii="Arial" w:hAnsi="Arial"/>
          <w:sz w:val="24"/>
        </w:rPr>
        <w:t xml:space="preserve">  - Google Play應用商店分潤</w:t>
      </w:r>
    </w:p>
    <w:p>
      <w:pPr/>
      <w:r>
        <w:rPr>
          <w:rFonts w:ascii="Arial" w:hAnsi="Arial"/>
          <w:sz w:val="24"/>
        </w:rPr>
        <w:t xml:space="preserve">  - 硬體銷售 (Pixel, Nest, Fitbit)</w:t>
      </w:r>
    </w:p>
    <w:p>
      <w:pPr>
        <w:pStyle w:val="Heading3"/>
      </w:pPr>
      <w:r>
        <w:t>3.2 Google Cloud (高成長業務)</w:t>
      </w:r>
    </w:p>
    <w:p>
      <w:pPr/>
      <w:r>
        <w:rPr>
          <w:rFonts w:ascii="Arial" w:hAnsi="Arial"/>
          <w:b/>
          <w:sz w:val="24"/>
        </w:rPr>
        <w:t>2025年營收:</w:t>
      </w:r>
      <w:r>
        <w:rPr>
          <w:rFonts w:ascii="Arial" w:hAnsi="Arial"/>
          <w:sz w:val="24"/>
        </w:rPr>
        <w:t xml:space="preserve"> 約$40B (佔總營收10%)</w:t>
      </w:r>
    </w:p>
    <w:p>
      <w:pPr/>
      <w:r>
        <w:rPr>
          <w:rFonts w:ascii="Arial" w:hAnsi="Arial"/>
          <w:b/>
          <w:sz w:val="24"/>
        </w:rPr>
        <w:t>2024年營收:</w:t>
      </w:r>
      <w:r>
        <w:rPr>
          <w:rFonts w:ascii="Arial" w:hAnsi="Arial"/>
          <w:sz w:val="24"/>
        </w:rPr>
        <w:t xml:space="preserve"> 約$33B</w:t>
      </w:r>
    </w:p>
    <w:p>
      <w:pPr/>
      <w:r>
        <w:rPr>
          <w:rFonts w:ascii="Arial" w:hAnsi="Arial"/>
          <w:b/>
          <w:sz w:val="24"/>
        </w:rPr>
        <w:t>YoY成長:</w:t>
      </w:r>
      <w:r>
        <w:rPr>
          <w:rFonts w:ascii="Arial" w:hAnsi="Arial"/>
          <w:sz w:val="24"/>
        </w:rPr>
        <w:t xml:space="preserve"> 約</w:t>
      </w:r>
      <w:r>
        <w:rPr>
          <w:rFonts w:ascii="Arial" w:hAnsi="Arial"/>
          <w:b/>
          <w:sz w:val="24"/>
        </w:rPr>
        <w:t>+21%</w:t>
      </w:r>
    </w:p>
    <w:p>
      <w:pPr/>
      <w:r>
        <w:rPr>
          <w:rFonts w:ascii="Arial" w:hAnsi="Arial"/>
          <w:b/>
          <w:sz w:val="24"/>
        </w:rPr>
        <w:t>獲利能力改善:</w:t>
      </w:r>
    </w:p>
    <w:p>
      <w:pPr>
        <w:pStyle w:val="ListBullet"/>
      </w:pPr>
      <w:r>
        <w:rPr>
          <w:rFonts w:ascii="Arial" w:hAnsi="Arial"/>
          <w:sz w:val="24"/>
        </w:rPr>
        <w:t>2024年首次全年盈利</w:t>
      </w:r>
    </w:p>
    <w:p>
      <w:pPr>
        <w:pStyle w:val="ListBullet"/>
      </w:pPr>
      <w:r>
        <w:rPr>
          <w:rFonts w:ascii="Arial" w:hAnsi="Arial"/>
          <w:sz w:val="24"/>
        </w:rPr>
        <w:t>2025年營業利潤率預估達到8-10% (持續改善中)</w:t>
      </w:r>
    </w:p>
    <w:p>
      <w:pPr/>
      <w:r>
        <w:rPr>
          <w:rFonts w:ascii="Arial" w:hAnsi="Arial"/>
          <w:b/>
          <w:sz w:val="24"/>
        </w:rPr>
        <w:t>成長驅動因素:</w:t>
      </w:r>
    </w:p>
    <w:p>
      <w:pPr>
        <w:pStyle w:val="ListNumber"/>
      </w:pPr>
      <w:r>
        <w:rPr>
          <w:rFonts w:ascii="Arial" w:hAnsi="Arial"/>
          <w:b/>
          <w:sz w:val="24"/>
        </w:rPr>
        <w:t>AI基礎設施需求爆發</w:t>
      </w:r>
    </w:p>
    <w:p>
      <w:pPr/>
      <w:r>
        <w:rPr>
          <w:rFonts w:ascii="Arial" w:hAnsi="Arial"/>
          <w:sz w:val="24"/>
        </w:rPr>
        <w:t xml:space="preserve">   - 企業客戶大量採用Vertex AI平台</w:t>
      </w:r>
    </w:p>
    <w:p>
      <w:pPr/>
      <w:r>
        <w:rPr>
          <w:rFonts w:ascii="Arial" w:hAnsi="Arial"/>
          <w:sz w:val="24"/>
        </w:rPr>
        <w:t xml:space="preserve">   - TPU (Tensor Processing Unit) 租賃需求強勁</w:t>
      </w:r>
    </w:p>
    <w:p>
      <w:pPr>
        <w:pStyle w:val="ListNumber"/>
      </w:pPr>
      <w:r>
        <w:rPr>
          <w:rFonts w:ascii="Arial" w:hAnsi="Arial"/>
          <w:b/>
          <w:sz w:val="24"/>
        </w:rPr>
        <w:t>Gemini企業版推動</w:t>
      </w:r>
    </w:p>
    <w:p>
      <w:pPr/>
      <w:r>
        <w:rPr>
          <w:rFonts w:ascii="Arial" w:hAnsi="Arial"/>
          <w:sz w:val="24"/>
        </w:rPr>
        <w:t xml:space="preserve">   - Gemini整合進Google Workspace</w:t>
      </w:r>
    </w:p>
    <w:p>
      <w:pPr/>
      <w:r>
        <w:rPr>
          <w:rFonts w:ascii="Arial" w:hAnsi="Arial"/>
          <w:sz w:val="24"/>
        </w:rPr>
        <w:t xml:space="preserve">   - 企業AI應用案例快速增加</w:t>
      </w:r>
    </w:p>
    <w:p>
      <w:pPr>
        <w:pStyle w:val="ListNumber"/>
      </w:pPr>
      <w:r>
        <w:rPr>
          <w:rFonts w:ascii="Arial" w:hAnsi="Arial"/>
          <w:b/>
          <w:sz w:val="24"/>
        </w:rPr>
        <w:t>傳統雲端業務穩定成長</w:t>
      </w:r>
    </w:p>
    <w:p>
      <w:pPr/>
      <w:r>
        <w:rPr>
          <w:rFonts w:ascii="Arial" w:hAnsi="Arial"/>
          <w:sz w:val="24"/>
        </w:rPr>
        <w:t xml:space="preserve">   - BigQuery數據分析</w:t>
      </w:r>
    </w:p>
    <w:p>
      <w:pPr/>
      <w:r>
        <w:rPr>
          <w:rFonts w:ascii="Arial" w:hAnsi="Arial"/>
          <w:sz w:val="24"/>
        </w:rPr>
        <w:t xml:space="preserve">   - 網路安全服務</w:t>
      </w:r>
    </w:p>
    <w:p>
      <w:pPr/>
      <w:r>
        <w:rPr>
          <w:rFonts w:ascii="Arial" w:hAnsi="Arial"/>
          <w:sz w:val="24"/>
        </w:rPr>
        <w:t xml:space="preserve">   - 資料庫與儲存服務</w:t>
      </w:r>
    </w:p>
    <w:p>
      <w:pPr/>
      <w:r>
        <w:rPr>
          <w:rFonts w:ascii="Arial" w:hAnsi="Arial"/>
          <w:b/>
          <w:sz w:val="24"/>
        </w:rPr>
        <w:t>市場地位:</w:t>
      </w:r>
    </w:p>
    <w:p>
      <w:pPr>
        <w:pStyle w:val="ListBullet"/>
      </w:pPr>
      <w:r>
        <w:rPr>
          <w:rFonts w:ascii="Arial" w:hAnsi="Arial"/>
          <w:sz w:val="24"/>
        </w:rPr>
        <w:t>全球雲端市場第3名 (僅次於AWS和Azure)</w:t>
      </w:r>
    </w:p>
    <w:p>
      <w:pPr>
        <w:pStyle w:val="ListBullet"/>
      </w:pPr>
      <w:r>
        <w:rPr>
          <w:rFonts w:ascii="Arial" w:hAnsi="Arial"/>
          <w:sz w:val="24"/>
        </w:rPr>
        <w:t>市佔率約10-11%</w:t>
      </w:r>
    </w:p>
    <w:p>
      <w:pPr>
        <w:pStyle w:val="Heading3"/>
      </w:pPr>
      <w:r>
        <w:t>3.3 Other Bets (實驗性業務)</w:t>
      </w:r>
    </w:p>
    <w:p>
      <w:pPr/>
      <w:r>
        <w:rPr>
          <w:rFonts w:ascii="Arial" w:hAnsi="Arial"/>
          <w:b/>
          <w:sz w:val="24"/>
        </w:rPr>
        <w:t>2025年營收:</w:t>
      </w:r>
      <w:r>
        <w:rPr>
          <w:rFonts w:ascii="Arial" w:hAnsi="Arial"/>
          <w:sz w:val="24"/>
        </w:rPr>
        <w:t xml:space="preserve"> 約$2-3B</w:t>
      </w:r>
    </w:p>
    <w:p>
      <w:pPr/>
      <w:r>
        <w:rPr>
          <w:rFonts w:ascii="Arial" w:hAnsi="Arial"/>
          <w:b/>
          <w:sz w:val="24"/>
        </w:rPr>
        <w:t>營業虧損:</w:t>
      </w:r>
      <w:r>
        <w:rPr>
          <w:rFonts w:ascii="Arial" w:hAnsi="Arial"/>
          <w:sz w:val="24"/>
        </w:rPr>
        <w:t xml:space="preserve"> 約$5-6B</w:t>
      </w:r>
    </w:p>
    <w:p>
      <w:pPr/>
      <w:r>
        <w:rPr>
          <w:rFonts w:ascii="Arial" w:hAnsi="Arial"/>
          <w:b/>
          <w:sz w:val="24"/>
        </w:rPr>
        <w:t>主要項目:</w:t>
      </w:r>
    </w:p>
    <w:p>
      <w:pPr>
        <w:pStyle w:val="ListBullet"/>
      </w:pPr>
      <w:r>
        <w:rPr>
          <w:rFonts w:ascii="Arial" w:hAnsi="Arial"/>
          <w:b/>
          <w:sz w:val="24"/>
        </w:rPr>
        <w:t>Waymo (自動駕駛):</w:t>
      </w:r>
      <w:r>
        <w:rPr>
          <w:rFonts w:ascii="Arial" w:hAnsi="Arial"/>
          <w:sz w:val="24"/>
        </w:rPr>
        <w:t xml:space="preserve"> 持續在舊金山、鳳凰城擴大商業化運營</w:t>
      </w:r>
    </w:p>
    <w:p>
      <w:pPr>
        <w:pStyle w:val="ListBullet"/>
      </w:pPr>
      <w:r>
        <w:rPr>
          <w:rFonts w:ascii="Arial" w:hAnsi="Arial"/>
          <w:b/>
          <w:sz w:val="24"/>
        </w:rPr>
        <w:t>Verily (健康科技):</w:t>
      </w:r>
      <w:r>
        <w:rPr>
          <w:rFonts w:ascii="Arial" w:hAnsi="Arial"/>
          <w:sz w:val="24"/>
        </w:rPr>
        <w:t xml:space="preserve"> 生命科學研究與數據分析</w:t>
      </w:r>
    </w:p>
    <w:p>
      <w:pPr>
        <w:pStyle w:val="ListBullet"/>
      </w:pPr>
      <w:r>
        <w:rPr>
          <w:rFonts w:ascii="Arial" w:hAnsi="Arial"/>
          <w:b/>
          <w:sz w:val="24"/>
        </w:rPr>
        <w:t>其他:</w:t>
      </w:r>
      <w:r>
        <w:rPr>
          <w:rFonts w:ascii="Arial" w:hAnsi="Arial"/>
          <w:sz w:val="24"/>
        </w:rPr>
        <w:t xml:space="preserve"> Google Fiber、Wing無人機配送等</w:t>
      </w:r>
    </w:p>
    <w:p>
      <w:r>
        <w:t>__________________________________________________</w:t>
      </w:r>
    </w:p>
    <w:p>
      <w:pPr>
        <w:pStyle w:val="Heading2"/>
      </w:pPr>
      <w:r>
        <w:t>四、資本支出 (CapEx) 詳細分析</w:t>
      </w:r>
    </w:p>
    <w:p>
      <w:pPr>
        <w:pStyle w:val="Heading3"/>
      </w:pPr>
      <w:r>
        <w:t>4.1 歷年CapEx趨勢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年份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CapEx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佔營收比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YoY成長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2023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$32.25B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10.5%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2024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$52.54B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15.0%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**+62.9%**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$91.45B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**22.7%**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**+74.1%**</w:t>
            </w:r>
          </w:p>
        </w:tc>
      </w:tr>
    </w:tbl>
    <w:p>
      <w:pPr>
        <w:pStyle w:val="Heading3"/>
      </w:pPr>
      <w:r>
        <w:t>4.2 2025年CapEx季度分布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季度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CapEx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環比變化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Q1 2025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$17.20B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Q2 2025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$22.45B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+30.5%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Q3 2025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$23.95B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+6.7%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Q4 2025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**$27.85B**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**+16.3%**</w:t>
            </w:r>
          </w:p>
        </w:tc>
      </w:tr>
    </w:tbl>
    <w:p>
      <w:pPr/>
      <w:r>
        <w:rPr>
          <w:rFonts w:ascii="Arial" w:hAnsi="Arial"/>
          <w:b/>
          <w:sz w:val="24"/>
        </w:rPr>
        <w:t>關鍵洞察:</w:t>
      </w:r>
    </w:p>
    <w:p>
      <w:pPr>
        <w:pStyle w:val="ListBullet"/>
      </w:pPr>
      <w:r>
        <w:rPr>
          <w:rFonts w:ascii="Arial" w:hAnsi="Arial"/>
          <w:b/>
          <w:sz w:val="24"/>
        </w:rPr>
        <w:t>2025年CapEx高達$914億美元,接近翻倍成長</w:t>
      </w:r>
    </w:p>
    <w:p>
      <w:pPr>
        <w:pStyle w:val="ListBullet"/>
      </w:pPr>
      <w:r>
        <w:rPr>
          <w:rFonts w:ascii="Arial" w:hAnsi="Arial"/>
          <w:sz w:val="24"/>
        </w:rPr>
        <w:t>佔營收比例從2024年的15%激增至22.7%</w:t>
      </w:r>
    </w:p>
    <w:p>
      <w:pPr>
        <w:pStyle w:val="ListBullet"/>
      </w:pPr>
      <w:r>
        <w:rPr>
          <w:rFonts w:ascii="Arial" w:hAnsi="Arial"/>
          <w:sz w:val="24"/>
        </w:rPr>
        <w:t>Q4單季CapEx達$27.85B,創歷史新高</w:t>
      </w:r>
    </w:p>
    <w:p>
      <w:pPr>
        <w:pStyle w:val="Heading3"/>
      </w:pPr>
      <w:r>
        <w:t>4.3 CapEx投資方向</w:t>
      </w:r>
    </w:p>
    <w:p>
      <w:pPr/>
      <w:r>
        <w:rPr>
          <w:rFonts w:ascii="Arial" w:hAnsi="Arial"/>
          <w:sz w:val="24"/>
        </w:rPr>
        <w:t>根據公司財報揭露,2025年資本支出主要用於:</w:t>
      </w:r>
    </w:p>
    <w:p>
      <w:pPr>
        <w:pStyle w:val="ListNumber"/>
      </w:pPr>
      <w:r>
        <w:rPr>
          <w:rFonts w:ascii="Arial" w:hAnsi="Arial"/>
          <w:b/>
          <w:sz w:val="24"/>
        </w:rPr>
        <w:t>AI基礎設施 (約60-70%)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數據中心建設與擴張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NVIDIA GPU大量採購</w:t>
      </w:r>
      <w:r>
        <w:rPr>
          <w:rFonts w:ascii="Arial" w:hAnsi="Arial"/>
          <w:sz w:val="24"/>
        </w:rPr>
        <w:t xml:space="preserve"> (H100, H200)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自研TPU晶片部署</w:t>
      </w:r>
      <w:r>
        <w:rPr>
          <w:rFonts w:ascii="Arial" w:hAnsi="Arial"/>
          <w:sz w:val="24"/>
        </w:rPr>
        <w:t xml:space="preserve"> (TPU v5, v6)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AI訓練與推理集群建置</w:t>
      </w:r>
    </w:p>
    <w:p>
      <w:pPr>
        <w:pStyle w:val="ListNumber"/>
      </w:pPr>
      <w:r>
        <w:rPr>
          <w:rFonts w:ascii="Arial" w:hAnsi="Arial"/>
          <w:b/>
          <w:sz w:val="24"/>
        </w:rPr>
        <w:t>辦公設施與土地 (約15-20%)</w:t>
      </w:r>
    </w:p>
    <w:p>
      <w:pPr/>
      <w:r>
        <w:rPr>
          <w:rFonts w:ascii="Arial" w:hAnsi="Arial"/>
          <w:sz w:val="24"/>
        </w:rPr>
        <w:t xml:space="preserve">   - 全球辦公室擴建</w:t>
      </w:r>
    </w:p>
    <w:p>
      <w:pPr/>
      <w:r>
        <w:rPr>
          <w:rFonts w:ascii="Arial" w:hAnsi="Arial"/>
          <w:sz w:val="24"/>
        </w:rPr>
        <w:t xml:space="preserve">   - 數據中心用地購置</w:t>
      </w:r>
    </w:p>
    <w:p>
      <w:pPr>
        <w:pStyle w:val="ListNumber"/>
      </w:pPr>
      <w:r>
        <w:rPr>
          <w:rFonts w:ascii="Arial" w:hAnsi="Arial"/>
          <w:b/>
          <w:sz w:val="24"/>
        </w:rPr>
        <w:t>生產設備 (約10-15%)</w:t>
      </w:r>
    </w:p>
    <w:p>
      <w:pPr/>
      <w:r>
        <w:rPr>
          <w:rFonts w:ascii="Arial" w:hAnsi="Arial"/>
          <w:sz w:val="24"/>
        </w:rPr>
        <w:t xml:space="preserve">   - 伺服器與網路設備</w:t>
      </w:r>
    </w:p>
    <w:p>
      <w:pPr/>
      <w:r>
        <w:rPr>
          <w:rFonts w:ascii="Arial" w:hAnsi="Arial"/>
          <w:sz w:val="24"/>
        </w:rPr>
        <w:t xml:space="preserve">   - 內容傳輸網路 (CDN)</w:t>
      </w:r>
    </w:p>
    <w:p>
      <w:pPr>
        <w:pStyle w:val="Heading3"/>
      </w:pPr>
      <w:r>
        <w:t>4.4 2026年CapEx展望</w:t>
      </w:r>
    </w:p>
    <w:p>
      <w:pPr/>
      <w:r>
        <w:rPr>
          <w:rFonts w:ascii="Arial" w:hAnsi="Arial"/>
          <w:b/>
          <w:sz w:val="24"/>
        </w:rPr>
        <w:t>公司指引 (來自2025 Q4財報電話會議):</w:t>
      </w:r>
    </w:p>
    <w:p>
      <w:pPr>
        <w:pStyle w:val="ListBullet"/>
      </w:pPr>
      <w:r>
        <w:rPr>
          <w:rFonts w:ascii="Arial" w:hAnsi="Arial"/>
          <w:sz w:val="24"/>
        </w:rPr>
        <w:t>預計2026年CapEx將</w:t>
      </w:r>
      <w:r>
        <w:rPr>
          <w:rFonts w:ascii="Arial" w:hAnsi="Arial"/>
          <w:b/>
          <w:sz w:val="24"/>
        </w:rPr>
        <w:t>繼續增長</w:t>
      </w:r>
    </w:p>
    <w:p>
      <w:pPr>
        <w:pStyle w:val="ListBullet"/>
      </w:pPr>
      <w:r>
        <w:rPr>
          <w:rFonts w:ascii="Arial" w:hAnsi="Arial"/>
          <w:sz w:val="24"/>
        </w:rPr>
        <w:t xml:space="preserve">估計範圍: </w:t>
      </w:r>
      <w:r>
        <w:rPr>
          <w:rFonts w:ascii="Arial" w:hAnsi="Arial"/>
          <w:b/>
          <w:sz w:val="24"/>
        </w:rPr>
        <w:t>$100B - $120B</w:t>
      </w:r>
    </w:p>
    <w:p>
      <w:pPr>
        <w:pStyle w:val="ListBullet"/>
      </w:pPr>
      <w:r>
        <w:rPr>
          <w:rFonts w:ascii="Arial" w:hAnsi="Arial"/>
          <w:sz w:val="24"/>
        </w:rPr>
        <w:t>持續聚焦在AI基礎設施投資</w:t>
      </w:r>
    </w:p>
    <w:p>
      <w:pPr/>
      <w:r>
        <w:rPr>
          <w:rFonts w:ascii="Arial" w:hAnsi="Arial"/>
          <w:b/>
          <w:sz w:val="24"/>
        </w:rPr>
        <w:t>管理層說法:</w:t>
      </w:r>
    </w:p>
    <w:p>
      <w:pPr/>
      <w:r>
        <w:rPr>
          <w:rFonts w:ascii="Arial" w:hAnsi="Arial"/>
          <w:sz w:val="24"/>
        </w:rPr>
        <w:t>&gt; "我們在2026年將持續大幅投資AI基礎設施,因為我們看到強勁的AI運算需求,無論是內部產品開發還是雲端客戶需求。投資不足的風險遠大於過度投資。"</w:t>
      </w:r>
    </w:p>
    <w:p>
      <w:r>
        <w:t>__________________________________________________</w:t>
      </w:r>
    </w:p>
    <w:p>
      <w:pPr>
        <w:pStyle w:val="Heading2"/>
      </w:pPr>
      <w:r>
        <w:t>五、現金流與資產負債表</w:t>
      </w:r>
    </w:p>
    <w:p>
      <w:pPr>
        <w:pStyle w:val="Heading3"/>
      </w:pPr>
      <w:r>
        <w:t>5.1 現金流表現 (2025年)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項目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2025年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2024年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YoY變化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**營運現金流**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$164.71B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$125.30B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**+31.5%**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**資本支出**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-$91.45B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-$52.54B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**+74.1%**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**自由現金流 (FCF)**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$73.27B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$72.76B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**+0.7%**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**FCF利潤率**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18.2%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20.8%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-260 bps</w:t>
            </w:r>
          </w:p>
        </w:tc>
      </w:tr>
    </w:tbl>
    <w:p>
      <w:pPr/>
      <w:r>
        <w:rPr>
          <w:rFonts w:ascii="Arial" w:hAnsi="Arial"/>
          <w:b/>
          <w:sz w:val="24"/>
        </w:rPr>
        <w:t>分析:</w:t>
      </w:r>
    </w:p>
    <w:p>
      <w:pPr>
        <w:pStyle w:val="ListBullet"/>
      </w:pPr>
      <w:r>
        <w:rPr>
          <w:rFonts w:ascii="Arial" w:hAnsi="Arial"/>
          <w:sz w:val="24"/>
        </w:rPr>
        <w:t>營運現金流成長強勁 (+31.5%),反映核心業務盈利能力</w:t>
      </w:r>
    </w:p>
    <w:p>
      <w:pPr>
        <w:pStyle w:val="ListBullet"/>
      </w:pPr>
      <w:r>
        <w:rPr>
          <w:rFonts w:ascii="Arial" w:hAnsi="Arial"/>
          <w:sz w:val="24"/>
        </w:rPr>
        <w:t>自由現金流微幅成長,主因CapEx激增</w:t>
      </w:r>
    </w:p>
    <w:p>
      <w:pPr>
        <w:pStyle w:val="ListBullet"/>
      </w:pPr>
      <w:r>
        <w:rPr>
          <w:rFonts w:ascii="Arial" w:hAnsi="Arial"/>
          <w:sz w:val="24"/>
        </w:rPr>
        <w:t>FCF利潤率下降屬預期內,因大規模AI基礎設施投資</w:t>
      </w:r>
    </w:p>
    <w:p>
      <w:pPr>
        <w:pStyle w:val="Heading3"/>
      </w:pPr>
      <w:r>
        <w:t>5.2 資產負債表健康度 (2025年底)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Arial" w:hAnsi="Arial"/>
                <w:b/>
                <w:sz w:val="22"/>
              </w:rPr>
              <w:t>項目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sz w:val="22"/>
              </w:rPr>
              <w:t>金額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**現金及短期投資**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$126.84B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**總資產**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$595.28B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**總負債**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$180.02B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**股東權益**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$415.27B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**長期債務**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$59.29B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**淨負債**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$41.33B</w:t>
            </w:r>
          </w:p>
        </w:tc>
      </w:tr>
    </w:tbl>
    <w:p>
      <w:pPr/>
      <w:r>
        <w:rPr>
          <w:rFonts w:ascii="Arial" w:hAnsi="Arial"/>
          <w:b/>
          <w:sz w:val="24"/>
        </w:rPr>
        <w:t>財務指標:</w:t>
      </w:r>
    </w:p>
    <w:p>
      <w:pPr>
        <w:pStyle w:val="ListBullet"/>
      </w:pPr>
      <w:r>
        <w:rPr>
          <w:rFonts w:ascii="Arial" w:hAnsi="Arial"/>
          <w:b/>
          <w:sz w:val="24"/>
        </w:rPr>
        <w:t>負債權益比 (D/E):</w:t>
      </w:r>
      <w:r>
        <w:rPr>
          <w:rFonts w:ascii="Arial" w:hAnsi="Arial"/>
          <w:sz w:val="24"/>
        </w:rPr>
        <w:t xml:space="preserve"> 17.3% (非常健康)</w:t>
      </w:r>
    </w:p>
    <w:p>
      <w:pPr>
        <w:pStyle w:val="ListBullet"/>
      </w:pPr>
      <w:r>
        <w:rPr>
          <w:rFonts w:ascii="Arial" w:hAnsi="Arial"/>
          <w:b/>
          <w:sz w:val="24"/>
        </w:rPr>
        <w:t>流動比率:</w:t>
      </w:r>
      <w:r>
        <w:rPr>
          <w:rFonts w:ascii="Arial" w:hAnsi="Arial"/>
          <w:sz w:val="24"/>
        </w:rPr>
        <w:t xml:space="preserve"> 2.01 (充足)</w:t>
      </w:r>
    </w:p>
    <w:p>
      <w:pPr>
        <w:pStyle w:val="ListBullet"/>
      </w:pPr>
      <w:r>
        <w:rPr>
          <w:rFonts w:ascii="Arial" w:hAnsi="Arial"/>
          <w:b/>
          <w:sz w:val="24"/>
        </w:rPr>
        <w:t>現金覆蓋負債:</w:t>
      </w:r>
      <w:r>
        <w:rPr>
          <w:rFonts w:ascii="Arial" w:hAnsi="Arial"/>
          <w:sz w:val="24"/>
        </w:rPr>
        <w:t xml:space="preserve"> 1.76倍</w:t>
      </w:r>
    </w:p>
    <w:p>
      <w:pPr/>
      <w:r>
        <w:rPr>
          <w:rFonts w:ascii="Arial" w:hAnsi="Arial"/>
          <w:b/>
          <w:sz w:val="24"/>
        </w:rPr>
        <w:t>結論:</w:t>
      </w:r>
      <w:r>
        <w:rPr>
          <w:rFonts w:ascii="Arial" w:hAnsi="Arial"/>
          <w:sz w:val="24"/>
        </w:rPr>
        <w:t xml:space="preserve"> 財務狀況極為穩健,有充足能力持續大規模投資</w:t>
      </w:r>
    </w:p>
    <w:p>
      <w:r>
        <w:t>__________________________________________________</w:t>
      </w:r>
    </w:p>
    <w:p>
      <w:pPr>
        <w:pStyle w:val="Heading2"/>
      </w:pPr>
      <w:r>
        <w:t>六、2026年營運計畫與戰略重點</w:t>
      </w:r>
    </w:p>
    <w:p>
      <w:pPr>
        <w:pStyle w:val="Heading3"/>
      </w:pPr>
      <w:r>
        <w:t>6.1 官方指引 (來自2025 Q4財報)</w:t>
      </w:r>
    </w:p>
    <w:p>
      <w:pPr/>
      <w:r>
        <w:rPr>
          <w:rFonts w:ascii="Arial" w:hAnsi="Arial"/>
          <w:b/>
          <w:sz w:val="24"/>
        </w:rPr>
        <w:t>營收成長預期:</w:t>
      </w:r>
    </w:p>
    <w:p>
      <w:pPr>
        <w:pStyle w:val="ListBullet"/>
      </w:pPr>
      <w:r>
        <w:rPr>
          <w:rFonts w:ascii="Arial" w:hAnsi="Arial"/>
          <w:sz w:val="24"/>
        </w:rPr>
        <w:t>公司未給出明確數字指引</w:t>
      </w:r>
    </w:p>
    <w:p>
      <w:pPr>
        <w:pStyle w:val="ListBullet"/>
      </w:pPr>
      <w:r>
        <w:rPr>
          <w:rFonts w:ascii="Arial" w:hAnsi="Arial"/>
          <w:sz w:val="24"/>
        </w:rPr>
        <w:t xml:space="preserve">分析師普遍預期: </w:t>
      </w:r>
      <w:r>
        <w:rPr>
          <w:rFonts w:ascii="Arial" w:hAnsi="Arial"/>
          <w:b/>
          <w:sz w:val="24"/>
        </w:rPr>
        <w:t>2026年營收成長12-15%</w:t>
      </w:r>
    </w:p>
    <w:p>
      <w:pPr>
        <w:pStyle w:val="ListBullet"/>
      </w:pPr>
      <w:r>
        <w:rPr>
          <w:rFonts w:ascii="Arial" w:hAnsi="Arial"/>
          <w:sz w:val="24"/>
        </w:rPr>
        <w:t xml:space="preserve">目標營收區間: </w:t>
      </w:r>
      <w:r>
        <w:rPr>
          <w:rFonts w:ascii="Arial" w:hAnsi="Arial"/>
          <w:b/>
          <w:sz w:val="24"/>
        </w:rPr>
        <w:t>$450B - $465B</w:t>
      </w:r>
    </w:p>
    <w:p>
      <w:pPr/>
      <w:r>
        <w:rPr>
          <w:rFonts w:ascii="Arial" w:hAnsi="Arial"/>
          <w:b/>
          <w:sz w:val="24"/>
        </w:rPr>
        <w:t>獲利能力:</w:t>
      </w:r>
    </w:p>
    <w:p>
      <w:pPr>
        <w:pStyle w:val="ListBullet"/>
      </w:pPr>
      <w:r>
        <w:rPr>
          <w:rFonts w:ascii="Arial" w:hAnsi="Arial"/>
          <w:sz w:val="24"/>
        </w:rPr>
        <w:t>營業利潤率預期維持在32%左右</w:t>
      </w:r>
    </w:p>
    <w:p>
      <w:pPr>
        <w:pStyle w:val="ListBullet"/>
      </w:pPr>
      <w:r>
        <w:rPr>
          <w:rFonts w:ascii="Arial" w:hAnsi="Arial"/>
          <w:sz w:val="24"/>
        </w:rPr>
        <w:t>淨利潤率可能微幅提升至33-34%</w:t>
      </w:r>
    </w:p>
    <w:p>
      <w:pPr>
        <w:pStyle w:val="Heading3"/>
      </w:pPr>
      <w:r>
        <w:t>6.2 2026年戰略重點</w:t>
      </w:r>
    </w:p>
    <w:p>
      <w:pPr/>
      <w:r>
        <w:rPr>
          <w:rFonts w:ascii="Arial" w:hAnsi="Arial"/>
          <w:sz w:val="24"/>
        </w:rPr>
        <w:t xml:space="preserve">#### 1. </w:t>
      </w:r>
      <w:r>
        <w:rPr>
          <w:rFonts w:ascii="Arial" w:hAnsi="Arial"/>
          <w:b/>
          <w:sz w:val="24"/>
        </w:rPr>
        <w:t>AI產品全面商業化</w:t>
      </w:r>
    </w:p>
    <w:p>
      <w:pPr/>
      <w:r>
        <w:rPr>
          <w:rFonts w:ascii="Arial" w:hAnsi="Arial"/>
          <w:b/>
          <w:sz w:val="24"/>
        </w:rPr>
        <w:t>Gemini AI生態系統:</w:t>
      </w:r>
    </w:p>
    <w:p>
      <w:pPr>
        <w:pStyle w:val="ListBullet"/>
      </w:pPr>
      <w:r>
        <w:rPr>
          <w:rFonts w:ascii="Arial" w:hAnsi="Arial"/>
          <w:sz w:val="24"/>
        </w:rPr>
        <w:t>Gemini 2.0已於2025年底推出</w:t>
      </w:r>
    </w:p>
    <w:p>
      <w:pPr>
        <w:pStyle w:val="ListBullet"/>
      </w:pPr>
      <w:r>
        <w:rPr>
          <w:rFonts w:ascii="Arial" w:hAnsi="Arial"/>
          <w:sz w:val="24"/>
        </w:rPr>
        <w:t>2026年重點:</w:t>
      </w:r>
    </w:p>
    <w:p>
      <w:pPr/>
      <w:r>
        <w:rPr>
          <w:rFonts w:ascii="Arial" w:hAnsi="Arial"/>
          <w:sz w:val="24"/>
        </w:rPr>
        <w:t xml:space="preserve">  - </w:t>
      </w:r>
      <w:r>
        <w:rPr>
          <w:rFonts w:ascii="Arial" w:hAnsi="Arial"/>
          <w:b/>
          <w:sz w:val="24"/>
        </w:rPr>
        <w:t>Gemini in Search (AI Overviews)</w:t>
      </w:r>
      <w:r>
        <w:rPr>
          <w:rFonts w:ascii="Arial" w:hAnsi="Arial"/>
          <w:sz w:val="24"/>
        </w:rPr>
        <w:t>: 擴大至更多國家與語言</w:t>
      </w:r>
    </w:p>
    <w:p>
      <w:pPr/>
      <w:r>
        <w:rPr>
          <w:rFonts w:ascii="Arial" w:hAnsi="Arial"/>
          <w:sz w:val="24"/>
        </w:rPr>
        <w:t xml:space="preserve">  - </w:t>
      </w:r>
      <w:r>
        <w:rPr>
          <w:rFonts w:ascii="Arial" w:hAnsi="Arial"/>
          <w:b/>
          <w:sz w:val="24"/>
        </w:rPr>
        <w:t>Gemini in Gmail/Docs/Sheets</w:t>
      </w:r>
      <w:r>
        <w:rPr>
          <w:rFonts w:ascii="Arial" w:hAnsi="Arial"/>
          <w:sz w:val="24"/>
        </w:rPr>
        <w:t>: 提升企業版滲透率</w:t>
      </w:r>
    </w:p>
    <w:p>
      <w:pPr/>
      <w:r>
        <w:rPr>
          <w:rFonts w:ascii="Arial" w:hAnsi="Arial"/>
          <w:sz w:val="24"/>
        </w:rPr>
        <w:t xml:space="preserve">  - </w:t>
      </w:r>
      <w:r>
        <w:rPr>
          <w:rFonts w:ascii="Arial" w:hAnsi="Arial"/>
          <w:b/>
          <w:sz w:val="24"/>
        </w:rPr>
        <w:t>Gemini API</w:t>
      </w:r>
      <w:r>
        <w:rPr>
          <w:rFonts w:ascii="Arial" w:hAnsi="Arial"/>
          <w:sz w:val="24"/>
        </w:rPr>
        <w:t>: 開放給第三方開發者,建立生態系</w:t>
      </w:r>
    </w:p>
    <w:p>
      <w:pPr/>
      <w:r>
        <w:rPr>
          <w:rFonts w:ascii="Arial" w:hAnsi="Arial"/>
          <w:b/>
          <w:sz w:val="24"/>
        </w:rPr>
        <w:t>AI Overviews營利化:</w:t>
      </w:r>
    </w:p>
    <w:p>
      <w:pPr>
        <w:pStyle w:val="ListBullet"/>
      </w:pPr>
      <w:r>
        <w:rPr>
          <w:rFonts w:ascii="Arial" w:hAnsi="Arial"/>
          <w:sz w:val="24"/>
        </w:rPr>
        <w:t>2025年測試在AI摘要中插入廣告</w:t>
      </w:r>
    </w:p>
    <w:p>
      <w:pPr>
        <w:pStyle w:val="ListBullet"/>
      </w:pPr>
      <w:r>
        <w:rPr>
          <w:rFonts w:ascii="Arial" w:hAnsi="Arial"/>
          <w:sz w:val="24"/>
        </w:rPr>
        <w:t>2026年將正式大規模商業化</w:t>
      </w:r>
    </w:p>
    <w:p>
      <w:pPr>
        <w:pStyle w:val="ListBullet"/>
      </w:pPr>
      <w:r>
        <w:rPr>
          <w:rFonts w:ascii="Arial" w:hAnsi="Arial"/>
          <w:sz w:val="24"/>
        </w:rPr>
        <w:t>預期可抵銷部分流量下降影響</w:t>
      </w:r>
    </w:p>
    <w:p>
      <w:pPr/>
      <w:r>
        <w:rPr>
          <w:rFonts w:ascii="Arial" w:hAnsi="Arial"/>
          <w:sz w:val="24"/>
        </w:rPr>
        <w:t xml:space="preserve">#### 2. </w:t>
      </w:r>
      <w:r>
        <w:rPr>
          <w:rFonts w:ascii="Arial" w:hAnsi="Arial"/>
          <w:b/>
          <w:sz w:val="24"/>
        </w:rPr>
        <w:t>Google Cloud加速成長</w:t>
      </w:r>
    </w:p>
    <w:p>
      <w:pPr/>
      <w:r>
        <w:rPr>
          <w:rFonts w:ascii="Arial" w:hAnsi="Arial"/>
          <w:b/>
          <w:sz w:val="24"/>
        </w:rPr>
        <w:t>目標:</w:t>
      </w:r>
    </w:p>
    <w:p>
      <w:pPr>
        <w:pStyle w:val="ListBullet"/>
      </w:pPr>
      <w:r>
        <w:rPr>
          <w:rFonts w:ascii="Arial" w:hAnsi="Arial"/>
          <w:sz w:val="24"/>
        </w:rPr>
        <w:t xml:space="preserve">2026年營收目標: </w:t>
      </w:r>
      <w:r>
        <w:rPr>
          <w:rFonts w:ascii="Arial" w:hAnsi="Arial"/>
          <w:b/>
          <w:sz w:val="24"/>
        </w:rPr>
        <w:t>$50B+</w:t>
      </w:r>
      <w:r>
        <w:rPr>
          <w:rFonts w:ascii="Arial" w:hAnsi="Arial"/>
          <w:sz w:val="24"/>
        </w:rPr>
        <w:t xml:space="preserve"> (YoY +25%以上)</w:t>
      </w:r>
    </w:p>
    <w:p>
      <w:pPr>
        <w:pStyle w:val="ListBullet"/>
      </w:pPr>
      <w:r>
        <w:rPr>
          <w:rFonts w:ascii="Arial" w:hAnsi="Arial"/>
          <w:sz w:val="24"/>
        </w:rPr>
        <w:t>營業利潤率提升至12-15%</w:t>
      </w:r>
    </w:p>
    <w:p>
      <w:pPr/>
      <w:r>
        <w:rPr>
          <w:rFonts w:ascii="Arial" w:hAnsi="Arial"/>
          <w:b/>
          <w:sz w:val="24"/>
        </w:rPr>
        <w:t>成長策略:</w:t>
      </w:r>
    </w:p>
    <w:p>
      <w:pPr>
        <w:pStyle w:val="ListBullet"/>
      </w:pPr>
      <w:r>
        <w:rPr>
          <w:rFonts w:ascii="Arial" w:hAnsi="Arial"/>
          <w:b/>
          <w:sz w:val="24"/>
        </w:rPr>
        <w:t>AI工作負載優先</w:t>
      </w:r>
      <w:r>
        <w:rPr>
          <w:rFonts w:ascii="Arial" w:hAnsi="Arial"/>
          <w:sz w:val="24"/>
        </w:rPr>
        <w:t>: 推廣Vertex AI與Gemini企業版</w:t>
      </w:r>
    </w:p>
    <w:p>
      <w:pPr>
        <w:pStyle w:val="ListBullet"/>
      </w:pPr>
      <w:r>
        <w:rPr>
          <w:rFonts w:ascii="Arial" w:hAnsi="Arial"/>
          <w:b/>
          <w:sz w:val="24"/>
        </w:rPr>
        <w:t>多雲戰略</w:t>
      </w:r>
      <w:r>
        <w:rPr>
          <w:rFonts w:ascii="Arial" w:hAnsi="Arial"/>
          <w:sz w:val="24"/>
        </w:rPr>
        <w:t>: 與AWS、Azure客戶爭奪混合雲市場</w:t>
      </w:r>
    </w:p>
    <w:p>
      <w:pPr>
        <w:pStyle w:val="ListBullet"/>
      </w:pPr>
      <w:r>
        <w:rPr>
          <w:rFonts w:ascii="Arial" w:hAnsi="Arial"/>
          <w:b/>
          <w:sz w:val="24"/>
        </w:rPr>
        <w:t>垂直產業解決方案</w:t>
      </w:r>
      <w:r>
        <w:rPr>
          <w:rFonts w:ascii="Arial" w:hAnsi="Arial"/>
          <w:sz w:val="24"/>
        </w:rPr>
        <w:t>: 金融、醫療、零售等客製化方案</w:t>
      </w:r>
    </w:p>
    <w:p>
      <w:pPr/>
      <w:r>
        <w:rPr>
          <w:rFonts w:ascii="Arial" w:hAnsi="Arial"/>
          <w:sz w:val="24"/>
        </w:rPr>
        <w:t xml:space="preserve">#### 3. </w:t>
      </w:r>
      <w:r>
        <w:rPr>
          <w:rFonts w:ascii="Arial" w:hAnsi="Arial"/>
          <w:b/>
          <w:sz w:val="24"/>
        </w:rPr>
        <w:t>YouTube Shorts與訂閱成長</w:t>
      </w:r>
    </w:p>
    <w:p>
      <w:pPr/>
      <w:r>
        <w:rPr>
          <w:rFonts w:ascii="Arial" w:hAnsi="Arial"/>
          <w:b/>
          <w:sz w:val="24"/>
        </w:rPr>
        <w:t>Shorts營利化:</w:t>
      </w:r>
    </w:p>
    <w:p>
      <w:pPr>
        <w:pStyle w:val="ListBullet"/>
      </w:pPr>
      <w:r>
        <w:rPr>
          <w:rFonts w:ascii="Arial" w:hAnsi="Arial"/>
          <w:sz w:val="24"/>
        </w:rPr>
        <w:t>2025年Shorts廣告收入已開始貢獻</w:t>
      </w:r>
    </w:p>
    <w:p>
      <w:pPr>
        <w:pStyle w:val="ListBullet"/>
      </w:pPr>
      <w:r>
        <w:rPr>
          <w:rFonts w:ascii="Arial" w:hAnsi="Arial"/>
          <w:sz w:val="24"/>
        </w:rPr>
        <w:t>2026年目標: Shorts廣告收入佔YouTube總廣告15-20%</w:t>
      </w:r>
    </w:p>
    <w:p>
      <w:pPr/>
      <w:r>
        <w:rPr>
          <w:rFonts w:ascii="Arial" w:hAnsi="Arial"/>
          <w:b/>
          <w:sz w:val="24"/>
        </w:rPr>
        <w:t>訂閱業務:</w:t>
      </w:r>
    </w:p>
    <w:p>
      <w:pPr>
        <w:pStyle w:val="ListBullet"/>
      </w:pPr>
      <w:r>
        <w:rPr>
          <w:rFonts w:ascii="Arial" w:hAnsi="Arial"/>
          <w:sz w:val="24"/>
        </w:rPr>
        <w:t>YouTube Premium/TV會員數持續成長</w:t>
      </w:r>
    </w:p>
    <w:p>
      <w:pPr>
        <w:pStyle w:val="ListBullet"/>
      </w:pPr>
      <w:r>
        <w:rPr>
          <w:rFonts w:ascii="Arial" w:hAnsi="Arial"/>
          <w:sz w:val="24"/>
        </w:rPr>
        <w:t>目標: 2026年訂閱營收突破$12B</w:t>
      </w:r>
    </w:p>
    <w:p>
      <w:pPr/>
      <w:r>
        <w:rPr>
          <w:rFonts w:ascii="Arial" w:hAnsi="Arial"/>
          <w:sz w:val="24"/>
        </w:rPr>
        <w:t xml:space="preserve">#### 4. </w:t>
      </w:r>
      <w:r>
        <w:rPr>
          <w:rFonts w:ascii="Arial" w:hAnsi="Arial"/>
          <w:b/>
          <w:sz w:val="24"/>
        </w:rPr>
        <w:t>硬體與新興業務</w:t>
      </w:r>
    </w:p>
    <w:p>
      <w:pPr/>
      <w:r>
        <w:rPr>
          <w:rFonts w:ascii="Arial" w:hAnsi="Arial"/>
          <w:b/>
          <w:sz w:val="24"/>
        </w:rPr>
        <w:t>Pixel手機:</w:t>
      </w:r>
    </w:p>
    <w:p>
      <w:pPr>
        <w:pStyle w:val="ListBullet"/>
      </w:pPr>
      <w:r>
        <w:rPr>
          <w:rFonts w:ascii="Arial" w:hAnsi="Arial"/>
          <w:sz w:val="24"/>
        </w:rPr>
        <w:t>Pixel 9系列整合Gemini Nano (設備端AI)</w:t>
      </w:r>
    </w:p>
    <w:p>
      <w:pPr>
        <w:pStyle w:val="ListBullet"/>
      </w:pPr>
      <w:r>
        <w:rPr>
          <w:rFonts w:ascii="Arial" w:hAnsi="Arial"/>
          <w:sz w:val="24"/>
        </w:rPr>
        <w:t>目標市佔率提升至全球5%</w:t>
      </w:r>
    </w:p>
    <w:p>
      <w:pPr/>
      <w:r>
        <w:rPr>
          <w:rFonts w:ascii="Arial" w:hAnsi="Arial"/>
          <w:b/>
          <w:sz w:val="24"/>
        </w:rPr>
        <w:t>Waymo自動駕駛:</w:t>
      </w:r>
    </w:p>
    <w:p>
      <w:pPr>
        <w:pStyle w:val="ListBullet"/>
      </w:pPr>
      <w:r>
        <w:rPr>
          <w:rFonts w:ascii="Arial" w:hAnsi="Arial"/>
          <w:sz w:val="24"/>
        </w:rPr>
        <w:t>2026年擴展至更多城市 (洛杉磯、奧斯汀)</w:t>
      </w:r>
    </w:p>
    <w:p>
      <w:pPr>
        <w:pStyle w:val="ListBullet"/>
      </w:pPr>
      <w:r>
        <w:rPr>
          <w:rFonts w:ascii="Arial" w:hAnsi="Arial"/>
          <w:sz w:val="24"/>
        </w:rPr>
        <w:t>商業化里程碑: 年營運里程突破2000萬英里</w:t>
      </w:r>
    </w:p>
    <w:p>
      <w:r>
        <w:t>__________________________________________________</w:t>
      </w:r>
    </w:p>
    <w:p>
      <w:pPr>
        <w:pStyle w:val="Heading2"/>
      </w:pPr>
      <w:r>
        <w:t>七、2026年關鍵催化劑時間表</w:t>
      </w:r>
    </w:p>
    <w:p>
      <w:pPr>
        <w:pStyle w:val="Heading3"/>
      </w:pPr>
      <w:r>
        <w:t>Q1 2026 (1-3月)</w:t>
      </w:r>
    </w:p>
    <w:p>
      <w:pPr/>
      <w:r>
        <w:rPr>
          <w:rFonts w:ascii="Arial" w:hAnsi="Arial"/>
          <w:b/>
          <w:sz w:val="24"/>
        </w:rPr>
        <w:t>已發生:</w:t>
      </w:r>
    </w:p>
    <w:p>
      <w:pPr>
        <w:pStyle w:val="ListBullet"/>
      </w:pPr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2月4日</w:t>
      </w:r>
      <w:r>
        <w:rPr>
          <w:rFonts w:ascii="Arial" w:hAnsi="Arial"/>
          <w:sz w:val="24"/>
        </w:rPr>
        <w:t>: 發布2025 Q4及全年財報</w:t>
      </w:r>
    </w:p>
    <w:p>
      <w:pPr/>
      <w:r>
        <w:rPr>
          <w:rFonts w:ascii="Arial" w:hAnsi="Arial"/>
          <w:sz w:val="24"/>
        </w:rPr>
        <w:t xml:space="preserve">  - Q4營收$113.90B,超越預期</w:t>
      </w:r>
    </w:p>
    <w:p>
      <w:pPr/>
      <w:r>
        <w:rPr>
          <w:rFonts w:ascii="Arial" w:hAnsi="Arial"/>
          <w:sz w:val="24"/>
        </w:rPr>
        <w:t xml:space="preserve">  - 宣布2026年持續加大AI投資</w:t>
      </w:r>
    </w:p>
    <w:p>
      <w:pPr/>
      <w:r>
        <w:rPr>
          <w:rFonts w:ascii="Arial" w:hAnsi="Arial"/>
          <w:b/>
          <w:sz w:val="24"/>
        </w:rPr>
        <w:t>預期:</w:t>
      </w:r>
    </w:p>
    <w:p>
      <w:pPr>
        <w:pStyle w:val="ListBullet"/>
      </w:pPr>
      <w:r>
        <w:rPr>
          <w:rFonts w:ascii="Arial" w:hAnsi="Arial"/>
          <w:b/>
          <w:sz w:val="24"/>
        </w:rPr>
        <w:t>3月</w:t>
      </w:r>
      <w:r>
        <w:rPr>
          <w:rFonts w:ascii="Arial" w:hAnsi="Arial"/>
          <w:sz w:val="24"/>
        </w:rPr>
        <w:t>: Google Cloud Next大會</w:t>
      </w:r>
    </w:p>
    <w:p>
      <w:pPr/>
      <w:r>
        <w:rPr>
          <w:rFonts w:ascii="Arial" w:hAnsi="Arial"/>
          <w:sz w:val="24"/>
        </w:rPr>
        <w:t xml:space="preserve">  - 發布新一代AI基礎設施產品</w:t>
      </w:r>
    </w:p>
    <w:p>
      <w:pPr/>
      <w:r>
        <w:rPr>
          <w:rFonts w:ascii="Arial" w:hAnsi="Arial"/>
          <w:sz w:val="24"/>
        </w:rPr>
        <w:t xml:space="preserve">  - 公布大型企業客戶案例</w:t>
      </w:r>
    </w:p>
    <w:p>
      <w:pPr>
        <w:pStyle w:val="Heading3"/>
      </w:pPr>
      <w:r>
        <w:t>Q2 2026 (4-6月)</w:t>
      </w:r>
    </w:p>
    <w:p>
      <w:pPr>
        <w:pStyle w:val="ListBullet"/>
      </w:pPr>
      <w:r>
        <w:rPr>
          <w:rFonts w:ascii="Arial" w:hAnsi="Arial"/>
          <w:b/>
          <w:sz w:val="24"/>
        </w:rPr>
        <w:t>4月23日</w:t>
      </w:r>
      <w:r>
        <w:rPr>
          <w:rFonts w:ascii="Arial" w:hAnsi="Arial"/>
          <w:sz w:val="24"/>
        </w:rPr>
        <w:t>: 發布Q1 2026財報</w:t>
      </w:r>
    </w:p>
    <w:p>
      <w:pPr/>
      <w:r>
        <w:rPr>
          <w:rFonts w:ascii="Arial" w:hAnsi="Arial"/>
          <w:sz w:val="24"/>
        </w:rPr>
        <w:t xml:space="preserve">  - 市場關注: AI Overviews廣告營收貢獻</w:t>
      </w:r>
    </w:p>
    <w:p>
      <w:pPr/>
      <w:r>
        <w:rPr>
          <w:rFonts w:ascii="Arial" w:hAnsi="Arial"/>
          <w:sz w:val="24"/>
        </w:rPr>
        <w:t xml:space="preserve">  - Google Cloud是否維持25%+成長</w:t>
      </w:r>
    </w:p>
    <w:p>
      <w:pPr>
        <w:pStyle w:val="ListBullet"/>
      </w:pPr>
      <w:r>
        <w:rPr>
          <w:rFonts w:ascii="Arial" w:hAnsi="Arial"/>
          <w:b/>
          <w:sz w:val="24"/>
        </w:rPr>
        <w:t>5月</w:t>
      </w:r>
      <w:r>
        <w:rPr>
          <w:rFonts w:ascii="Arial" w:hAnsi="Arial"/>
          <w:sz w:val="24"/>
        </w:rPr>
        <w:t>: Google I/O開發者大會 (重點!)</w:t>
      </w:r>
    </w:p>
    <w:p>
      <w:pPr/>
      <w:r>
        <w:rPr>
          <w:rFonts w:ascii="Arial" w:hAnsi="Arial"/>
          <w:sz w:val="24"/>
        </w:rPr>
        <w:t xml:space="preserve">  - </w:t>
      </w:r>
      <w:r>
        <w:rPr>
          <w:rFonts w:ascii="Arial" w:hAnsi="Arial"/>
          <w:b/>
          <w:sz w:val="24"/>
        </w:rPr>
        <w:t>Gemini 2.5或3.0可能發布</w:t>
      </w:r>
    </w:p>
    <w:p>
      <w:pPr/>
      <w:r>
        <w:rPr>
          <w:rFonts w:ascii="Arial" w:hAnsi="Arial"/>
          <w:sz w:val="24"/>
        </w:rPr>
        <w:t xml:space="preserve">  - Android 16新功能展示</w:t>
      </w:r>
    </w:p>
    <w:p>
      <w:pPr/>
      <w:r>
        <w:rPr>
          <w:rFonts w:ascii="Arial" w:hAnsi="Arial"/>
          <w:sz w:val="24"/>
        </w:rPr>
        <w:t xml:space="preserve">  - AI硬體新品 (Pixel 9a, Pixel Fold 3)</w:t>
      </w:r>
    </w:p>
    <w:p>
      <w:pPr>
        <w:pStyle w:val="Heading3"/>
      </w:pPr>
      <w:r>
        <w:t>Q3 2026 (7-9月)</w:t>
      </w:r>
    </w:p>
    <w:p>
      <w:pPr>
        <w:pStyle w:val="ListBullet"/>
      </w:pPr>
      <w:r>
        <w:rPr>
          <w:rFonts w:ascii="Arial" w:hAnsi="Arial"/>
          <w:b/>
          <w:sz w:val="24"/>
        </w:rPr>
        <w:t>7月底</w:t>
      </w:r>
      <w:r>
        <w:rPr>
          <w:rFonts w:ascii="Arial" w:hAnsi="Arial"/>
          <w:sz w:val="24"/>
        </w:rPr>
        <w:t>: Q2 2026財報</w:t>
      </w:r>
    </w:p>
    <w:p>
      <w:pPr/>
      <w:r>
        <w:rPr>
          <w:rFonts w:ascii="Arial" w:hAnsi="Arial"/>
          <w:sz w:val="24"/>
        </w:rPr>
        <w:t xml:space="preserve">  - YouTube Shorts廣告營收表現</w:t>
      </w:r>
    </w:p>
    <w:p>
      <w:pPr/>
      <w:r>
        <w:rPr>
          <w:rFonts w:ascii="Arial" w:hAnsi="Arial"/>
          <w:sz w:val="24"/>
        </w:rPr>
        <w:t xml:space="preserve">  - Cloud營業利潤率是否突破15%</w:t>
      </w:r>
    </w:p>
    <w:p>
      <w:pPr>
        <w:pStyle w:val="ListBullet"/>
      </w:pPr>
      <w:r>
        <w:rPr>
          <w:rFonts w:ascii="Arial" w:hAnsi="Arial"/>
          <w:b/>
          <w:sz w:val="24"/>
        </w:rPr>
        <w:t>8月</w:t>
      </w:r>
      <w:r>
        <w:rPr>
          <w:rFonts w:ascii="Arial" w:hAnsi="Arial"/>
          <w:sz w:val="24"/>
        </w:rPr>
        <w:t>: 可能的硬體發布會</w:t>
      </w:r>
    </w:p>
    <w:p>
      <w:pPr/>
      <w:r>
        <w:rPr>
          <w:rFonts w:ascii="Arial" w:hAnsi="Arial"/>
          <w:sz w:val="24"/>
        </w:rPr>
        <w:t xml:space="preserve">  - Pixel 10系列 (搭載Tensor G5晶片)</w:t>
      </w:r>
    </w:p>
    <w:p>
      <w:pPr/>
      <w:r>
        <w:rPr>
          <w:rFonts w:ascii="Arial" w:hAnsi="Arial"/>
          <w:sz w:val="24"/>
        </w:rPr>
        <w:t xml:space="preserve">  - Nest新產品線</w:t>
      </w:r>
    </w:p>
    <w:p>
      <w:pPr>
        <w:pStyle w:val="Heading3"/>
      </w:pPr>
      <w:r>
        <w:t>Q4 2026 (10-12月)</w:t>
      </w:r>
    </w:p>
    <w:p>
      <w:pPr>
        <w:pStyle w:val="ListBullet"/>
      </w:pPr>
      <w:r>
        <w:rPr>
          <w:rFonts w:ascii="Arial" w:hAnsi="Arial"/>
          <w:b/>
          <w:sz w:val="24"/>
        </w:rPr>
        <w:t>10月底</w:t>
      </w:r>
      <w:r>
        <w:rPr>
          <w:rFonts w:ascii="Arial" w:hAnsi="Arial"/>
          <w:sz w:val="24"/>
        </w:rPr>
        <w:t>: Q3 2026財報</w:t>
      </w:r>
    </w:p>
    <w:p>
      <w:pPr>
        <w:pStyle w:val="ListBullet"/>
      </w:pPr>
      <w:r>
        <w:rPr>
          <w:rFonts w:ascii="Arial" w:hAnsi="Arial"/>
          <w:b/>
          <w:sz w:val="24"/>
        </w:rPr>
        <w:t>11-12月</w:t>
      </w:r>
      <w:r>
        <w:rPr>
          <w:rFonts w:ascii="Arial" w:hAnsi="Arial"/>
          <w:sz w:val="24"/>
        </w:rPr>
        <w:t>: 假期購物季</w:t>
      </w:r>
    </w:p>
    <w:p>
      <w:pPr/>
      <w:r>
        <w:rPr>
          <w:rFonts w:ascii="Arial" w:hAnsi="Arial"/>
          <w:sz w:val="24"/>
        </w:rPr>
        <w:t xml:space="preserve">  - 廣告收入旺季</w:t>
      </w:r>
    </w:p>
    <w:p>
      <w:pPr/>
      <w:r>
        <w:rPr>
          <w:rFonts w:ascii="Arial" w:hAnsi="Arial"/>
          <w:sz w:val="24"/>
        </w:rPr>
        <w:t xml:space="preserve">  - YouTube TV訂閱推廣</w:t>
      </w:r>
    </w:p>
    <w:p>
      <w:pPr/>
      <w:r>
        <w:rPr>
          <w:rFonts w:ascii="Arial" w:hAnsi="Arial"/>
          <w:sz w:val="24"/>
        </w:rPr>
        <w:t xml:space="preserve">  - Pixel系列促銷</w:t>
      </w:r>
    </w:p>
    <w:p>
      <w:pPr/>
      <w:r>
        <w:rPr>
          <w:rFonts w:ascii="Arial" w:hAnsi="Arial"/>
          <w:b/>
          <w:sz w:val="24"/>
        </w:rPr>
        <w:t>全年關鍵里程碑:</w:t>
      </w:r>
    </w:p>
    <w:p>
      <w:pPr>
        <w:pStyle w:val="ListBullet"/>
      </w:pPr>
      <w:r>
        <w:rPr>
          <w:rFonts w:ascii="Arial" w:hAnsi="Arial"/>
          <w:sz w:val="24"/>
        </w:rPr>
        <w:t>AI Overviews廣告營收首次單獨揭露 (可能於Q2或Q3)</w:t>
      </w:r>
    </w:p>
    <w:p>
      <w:pPr>
        <w:pStyle w:val="ListBullet"/>
      </w:pPr>
      <w:r>
        <w:rPr>
          <w:rFonts w:ascii="Arial" w:hAnsi="Arial"/>
          <w:sz w:val="24"/>
        </w:rPr>
        <w:t>Google Cloud全年營收是否突破$50B</w:t>
      </w:r>
    </w:p>
    <w:p>
      <w:pPr>
        <w:pStyle w:val="ListBullet"/>
      </w:pPr>
      <w:r>
        <w:rPr>
          <w:rFonts w:ascii="Arial" w:hAnsi="Arial"/>
          <w:sz w:val="24"/>
        </w:rPr>
        <w:t>Waymo是否宣布新一輪融資或IPO計畫</w:t>
      </w:r>
    </w:p>
    <w:p>
      <w:pPr>
        <w:pStyle w:val="ListBullet"/>
      </w:pPr>
      <w:r>
        <w:rPr>
          <w:rFonts w:ascii="Arial" w:hAnsi="Arial"/>
          <w:sz w:val="24"/>
        </w:rPr>
        <w:t>DOJ反壟斷案判決 (可能影響搜尋業務結構)</w:t>
      </w:r>
    </w:p>
    <w:p>
      <w:r>
        <w:t>__________________________________________________</w:t>
      </w:r>
    </w:p>
    <w:p>
      <w:pPr>
        <w:pStyle w:val="Heading2"/>
      </w:pPr>
      <w:r>
        <w:t>八、**核心問題分析: 為何成長不足? 是否有突破潛力?**</w:t>
      </w:r>
    </w:p>
    <w:p>
      <w:pPr>
        <w:pStyle w:val="Heading3"/>
      </w:pPr>
      <w:r>
        <w:t>8.1 成長放緩的根本原因</w:t>
      </w:r>
    </w:p>
    <w:p>
      <w:pPr/>
      <w:r>
        <w:rPr>
          <w:rFonts w:ascii="Arial" w:hAnsi="Arial"/>
          <w:sz w:val="24"/>
        </w:rPr>
        <w:t xml:space="preserve">#### </w:t>
      </w:r>
      <w:r>
        <w:rPr>
          <w:rFonts w:ascii="Arial" w:hAnsi="Arial"/>
          <w:b/>
          <w:sz w:val="24"/>
        </w:rPr>
        <w:t>問題1: 廣告業務增長見頂?</w:t>
      </w:r>
    </w:p>
    <w:p>
      <w:pPr/>
      <w:r>
        <w:rPr>
          <w:rFonts w:ascii="Arial" w:hAnsi="Arial"/>
          <w:b/>
          <w:sz w:val="24"/>
        </w:rPr>
        <w:t>數據事實:</w:t>
      </w:r>
    </w:p>
    <w:p>
      <w:pPr>
        <w:pStyle w:val="ListBullet"/>
      </w:pPr>
      <w:r>
        <w:rPr>
          <w:rFonts w:ascii="Arial" w:hAnsi="Arial"/>
          <w:sz w:val="24"/>
        </w:rPr>
        <w:t>2023-2025年Google Services營收成長率:</w:t>
      </w:r>
    </w:p>
    <w:p>
      <w:pPr/>
      <w:r>
        <w:rPr>
          <w:rFonts w:ascii="Arial" w:hAnsi="Arial"/>
          <w:sz w:val="24"/>
        </w:rPr>
        <w:t xml:space="preserve">  - 2023: +8.1%</w:t>
      </w:r>
    </w:p>
    <w:p>
      <w:pPr/>
      <w:r>
        <w:rPr>
          <w:rFonts w:ascii="Arial" w:hAnsi="Arial"/>
          <w:sz w:val="24"/>
        </w:rPr>
        <w:t xml:space="preserve">  - 2024: +13.2%</w:t>
      </w:r>
    </w:p>
    <w:p>
      <w:pPr/>
      <w:r>
        <w:rPr>
          <w:rFonts w:ascii="Arial" w:hAnsi="Arial"/>
          <w:sz w:val="24"/>
        </w:rPr>
        <w:t xml:space="preserve">  - 2025: 約+14.5%</w:t>
      </w:r>
    </w:p>
    <w:p>
      <w:pPr/>
      <w:r>
        <w:rPr>
          <w:rFonts w:ascii="Arial" w:hAnsi="Arial"/>
          <w:b/>
          <w:sz w:val="24"/>
        </w:rPr>
        <w:t>減速因素:</w:t>
      </w:r>
    </w:p>
    <w:p>
      <w:pPr>
        <w:pStyle w:val="ListNumber"/>
      </w:pPr>
      <w:r>
        <w:rPr>
          <w:rFonts w:ascii="Arial" w:hAnsi="Arial"/>
          <w:b/>
          <w:sz w:val="24"/>
        </w:rPr>
        <w:t>搜尋廣告市場飽和</w:t>
      </w:r>
    </w:p>
    <w:p>
      <w:pPr/>
      <w:r>
        <w:rPr>
          <w:rFonts w:ascii="Arial" w:hAnsi="Arial"/>
          <w:sz w:val="24"/>
        </w:rPr>
        <w:t xml:space="preserve">   - 全球數位廣告市場成長放緩至個位數</w:t>
      </w:r>
    </w:p>
    <w:p>
      <w:pPr/>
      <w:r>
        <w:rPr>
          <w:rFonts w:ascii="Arial" w:hAnsi="Arial"/>
          <w:sz w:val="24"/>
        </w:rPr>
        <w:t xml:space="preserve">   - Google搜尋市佔率已達90%+,缺乏增量市場</w:t>
      </w:r>
    </w:p>
    <w:p>
      <w:pPr>
        <w:pStyle w:val="ListNumber"/>
      </w:pPr>
      <w:r>
        <w:rPr>
          <w:rFonts w:ascii="Arial" w:hAnsi="Arial"/>
          <w:b/>
          <w:sz w:val="24"/>
        </w:rPr>
        <w:t>AI Overviews衝擊流量變現</w:t>
      </w:r>
    </w:p>
    <w:p>
      <w:pPr/>
      <w:r>
        <w:rPr>
          <w:rFonts w:ascii="Arial" w:hAnsi="Arial"/>
          <w:sz w:val="24"/>
        </w:rPr>
        <w:t xml:space="preserve">   - AI摘要直接回答問題,減少用戶點擊廣告</w:t>
      </w:r>
    </w:p>
    <w:p>
      <w:pPr/>
      <w:r>
        <w:rPr>
          <w:rFonts w:ascii="Arial" w:hAnsi="Arial"/>
          <w:sz w:val="24"/>
        </w:rPr>
        <w:t xml:space="preserve">   - 2025年測試數據顯示: AI Overviews頁面每次搜尋廣告收入下降15-20%</w:t>
      </w:r>
    </w:p>
    <w:p>
      <w:pPr/>
      <w:r>
        <w:rPr>
          <w:rFonts w:ascii="Arial" w:hAnsi="Arial"/>
          <w:sz w:val="24"/>
        </w:rPr>
        <w:t xml:space="preserve">   - 雖然2026年計畫在AI摘要中插入廣告,但單位價值仍待驗證</w:t>
      </w:r>
    </w:p>
    <w:p>
      <w:pPr>
        <w:pStyle w:val="ListNumber"/>
      </w:pPr>
      <w:r>
        <w:rPr>
          <w:rFonts w:ascii="Arial" w:hAnsi="Arial"/>
          <w:b/>
          <w:sz w:val="24"/>
        </w:rPr>
        <w:t>隱私政策與Cookie限制</w:t>
      </w:r>
    </w:p>
    <w:p>
      <w:pPr/>
      <w:r>
        <w:rPr>
          <w:rFonts w:ascii="Arial" w:hAnsi="Arial"/>
          <w:sz w:val="24"/>
        </w:rPr>
        <w:t xml:space="preserve">   - 第三方Cookie逐步淘汰</w:t>
      </w:r>
    </w:p>
    <w:p>
      <w:pPr/>
      <w:r>
        <w:rPr>
          <w:rFonts w:ascii="Arial" w:hAnsi="Arial"/>
          <w:sz w:val="24"/>
        </w:rPr>
        <w:t xml:space="preserve">   - 精準廣告定位能力下降,影響廣告主投放意願</w:t>
      </w:r>
    </w:p>
    <w:p>
      <w:pPr>
        <w:pStyle w:val="ListNumber"/>
      </w:pPr>
      <w:r>
        <w:rPr>
          <w:rFonts w:ascii="Arial" w:hAnsi="Arial"/>
          <w:b/>
          <w:sz w:val="24"/>
        </w:rPr>
        <w:t>競爭加劇</w:t>
      </w:r>
    </w:p>
    <w:p>
      <w:pPr/>
      <w:r>
        <w:rPr>
          <w:rFonts w:ascii="Arial" w:hAnsi="Arial"/>
          <w:sz w:val="24"/>
        </w:rPr>
        <w:t xml:space="preserve">   - TikTok、Amazon搜尋廣告分食市場</w:t>
      </w:r>
    </w:p>
    <w:p>
      <w:pPr/>
      <w:r>
        <w:rPr>
          <w:rFonts w:ascii="Arial" w:hAnsi="Arial"/>
          <w:sz w:val="24"/>
        </w:rPr>
        <w:t xml:space="preserve">   - ChatGPT、Perplexity等AI搜尋工具崛起</w:t>
      </w:r>
    </w:p>
    <w:p>
      <w:pPr/>
      <w:r>
        <w:rPr>
          <w:rFonts w:ascii="Arial" w:hAnsi="Arial"/>
          <w:sz w:val="24"/>
        </w:rPr>
        <w:t xml:space="preserve">#### </w:t>
      </w:r>
      <w:r>
        <w:rPr>
          <w:rFonts w:ascii="Arial" w:hAnsi="Arial"/>
          <w:b/>
          <w:sz w:val="24"/>
        </w:rPr>
        <w:t>問題2: Google Cloud成長低於預期</w:t>
      </w:r>
    </w:p>
    <w:p>
      <w:pPr/>
      <w:r>
        <w:rPr>
          <w:rFonts w:ascii="Arial" w:hAnsi="Arial"/>
          <w:b/>
          <w:sz w:val="24"/>
        </w:rPr>
        <w:t>市場比較 (2025年預估成長率):</w:t>
      </w:r>
    </w:p>
    <w:p>
      <w:pPr>
        <w:pStyle w:val="ListBullet"/>
      </w:pPr>
      <w:r>
        <w:rPr>
          <w:rFonts w:ascii="Arial" w:hAnsi="Arial"/>
          <w:sz w:val="24"/>
        </w:rPr>
        <w:t>AWS: +15-17%</w:t>
      </w:r>
    </w:p>
    <w:p>
      <w:pPr>
        <w:pStyle w:val="ListBullet"/>
      </w:pPr>
      <w:r>
        <w:rPr>
          <w:rFonts w:ascii="Arial" w:hAnsi="Arial"/>
          <w:sz w:val="24"/>
        </w:rPr>
        <w:t>Azure: +30-32%</w:t>
      </w:r>
    </w:p>
    <w:p>
      <w:pPr>
        <w:pStyle w:val="ListBullet"/>
      </w:pPr>
      <w:r>
        <w:rPr>
          <w:rFonts w:ascii="Arial" w:hAnsi="Arial"/>
          <w:b/>
          <w:sz w:val="24"/>
        </w:rPr>
        <w:t>Google Cloud: +21%</w:t>
      </w:r>
      <w:r>
        <w:rPr>
          <w:rFonts w:ascii="Arial" w:hAnsi="Arial"/>
          <w:sz w:val="24"/>
        </w:rPr>
        <w:t xml:space="preserve"> (介於兩者之間)</w:t>
      </w:r>
    </w:p>
    <w:p>
      <w:pPr/>
      <w:r>
        <w:rPr>
          <w:rFonts w:ascii="Arial" w:hAnsi="Arial"/>
          <w:b/>
          <w:sz w:val="24"/>
        </w:rPr>
        <w:t>落後原因:</w:t>
      </w:r>
    </w:p>
    <w:p>
      <w:pPr>
        <w:pStyle w:val="ListNumber"/>
      </w:pPr>
      <w:r>
        <w:rPr>
          <w:rFonts w:ascii="Arial" w:hAnsi="Arial"/>
          <w:b/>
          <w:sz w:val="24"/>
        </w:rPr>
        <w:t>企業客戶黏性不足</w:t>
      </w:r>
    </w:p>
    <w:p>
      <w:pPr/>
      <w:r>
        <w:rPr>
          <w:rFonts w:ascii="Arial" w:hAnsi="Arial"/>
          <w:sz w:val="24"/>
        </w:rPr>
        <w:t xml:space="preserve">   - 大型企業仍優先選擇AWS (市佔率34%)</w:t>
      </w:r>
    </w:p>
    <w:p>
      <w:pPr/>
      <w:r>
        <w:rPr>
          <w:rFonts w:ascii="Arial" w:hAnsi="Arial"/>
          <w:sz w:val="24"/>
        </w:rPr>
        <w:t xml:space="preserve">   - Microsoft Azure受惠於Office 365生態系綁定</w:t>
      </w:r>
    </w:p>
    <w:p>
      <w:pPr>
        <w:pStyle w:val="ListNumber"/>
      </w:pPr>
      <w:r>
        <w:rPr>
          <w:rFonts w:ascii="Arial" w:hAnsi="Arial"/>
          <w:b/>
          <w:sz w:val="24"/>
        </w:rPr>
        <w:t>銷售團隊規模劣勢</w:t>
      </w:r>
    </w:p>
    <w:p>
      <w:pPr/>
      <w:r>
        <w:rPr>
          <w:rFonts w:ascii="Arial" w:hAnsi="Arial"/>
          <w:sz w:val="24"/>
        </w:rPr>
        <w:t xml:space="preserve">   - Google銷售人員數量顯著少於AWS/Azure</w:t>
      </w:r>
    </w:p>
    <w:p>
      <w:pPr/>
      <w:r>
        <w:rPr>
          <w:rFonts w:ascii="Arial" w:hAnsi="Arial"/>
          <w:sz w:val="24"/>
        </w:rPr>
        <w:t xml:space="preserve">   - 企業客戶服務體驗待提升</w:t>
      </w:r>
    </w:p>
    <w:p>
      <w:pPr>
        <w:pStyle w:val="ListNumber"/>
      </w:pPr>
      <w:r>
        <w:rPr>
          <w:rFonts w:ascii="Arial" w:hAnsi="Arial"/>
          <w:b/>
          <w:sz w:val="24"/>
        </w:rPr>
        <w:t>獲利能力壓力</w:t>
      </w:r>
    </w:p>
    <w:p>
      <w:pPr/>
      <w:r>
        <w:rPr>
          <w:rFonts w:ascii="Arial" w:hAnsi="Arial"/>
          <w:sz w:val="24"/>
        </w:rPr>
        <w:t xml:space="preserve">   - 為爭奪市佔率提供大幅折扣</w:t>
      </w:r>
    </w:p>
    <w:p>
      <w:pPr/>
      <w:r>
        <w:rPr>
          <w:rFonts w:ascii="Arial" w:hAnsi="Arial"/>
          <w:sz w:val="24"/>
        </w:rPr>
        <w:t xml:space="preserve">   - 營業利潤率僅8-10%,遠低於AWS的30%+</w:t>
      </w:r>
    </w:p>
    <w:p>
      <w:pPr/>
      <w:r>
        <w:rPr>
          <w:rFonts w:ascii="Arial" w:hAnsi="Arial"/>
          <w:sz w:val="24"/>
        </w:rPr>
        <w:t xml:space="preserve">#### </w:t>
      </w:r>
      <w:r>
        <w:rPr>
          <w:rFonts w:ascii="Arial" w:hAnsi="Arial"/>
          <w:b/>
          <w:sz w:val="24"/>
        </w:rPr>
        <w:t>問題3: CapEx激增但營收成長不成比例</w:t>
      </w:r>
    </w:p>
    <w:p>
      <w:pPr/>
      <w:r>
        <w:rPr>
          <w:rFonts w:ascii="Arial" w:hAnsi="Arial"/>
          <w:b/>
          <w:sz w:val="24"/>
        </w:rPr>
        <w:t>投資回報率(ROI)擔憂: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年份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CapEx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營收成長率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CapEx/營收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2023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$32B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+8.7%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10.5%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2024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$53B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+13.9%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15.0%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$91B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+15.1%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**22.7%**</w:t>
            </w:r>
          </w:p>
        </w:tc>
      </w:tr>
    </w:tbl>
    <w:p>
      <w:pPr/>
      <w:r>
        <w:rPr>
          <w:rFonts w:ascii="Arial" w:hAnsi="Arial"/>
          <w:b/>
          <w:sz w:val="24"/>
        </w:rPr>
        <w:t>市場質疑:</w:t>
      </w:r>
    </w:p>
    <w:p>
      <w:pPr>
        <w:pStyle w:val="ListBullet"/>
      </w:pPr>
      <w:r>
        <w:rPr>
          <w:rFonts w:ascii="Arial" w:hAnsi="Arial"/>
          <w:sz w:val="24"/>
        </w:rPr>
        <w:t>CapEx成長速度(+74%)遠超營收成長(+15%)</w:t>
      </w:r>
    </w:p>
    <w:p>
      <w:pPr>
        <w:pStyle w:val="ListBullet"/>
      </w:pPr>
      <w:r>
        <w:rPr>
          <w:rFonts w:ascii="Arial" w:hAnsi="Arial"/>
          <w:sz w:val="24"/>
        </w:rPr>
        <w:t>AI基礎設施投資何時能轉化為實際營收?</w:t>
      </w:r>
    </w:p>
    <w:p>
      <w:pPr>
        <w:pStyle w:val="ListBullet"/>
      </w:pPr>
      <w:r>
        <w:rPr>
          <w:rFonts w:ascii="Arial" w:hAnsi="Arial"/>
          <w:sz w:val="24"/>
        </w:rPr>
        <w:t>是否存在「軍備競賽」導致資本效率下降?</w:t>
      </w:r>
    </w:p>
    <w:p>
      <w:pPr>
        <w:pStyle w:val="Heading3"/>
      </w:pPr>
      <w:r>
        <w:t>8.2 **2026年是否有明確突破潛力?**</w:t>
      </w:r>
    </w:p>
    <w:p>
      <w:pPr/>
      <w:r>
        <w:rPr>
          <w:rFonts w:ascii="Arial" w:hAnsi="Arial"/>
          <w:sz w:val="24"/>
        </w:rPr>
        <w:t xml:space="preserve">#### ✅ </w:t>
      </w:r>
      <w:r>
        <w:rPr>
          <w:rFonts w:ascii="Arial" w:hAnsi="Arial"/>
          <w:b/>
          <w:sz w:val="24"/>
        </w:rPr>
        <w:t>突破點1: AI Overviews廣告營利化</w:t>
      </w:r>
    </w:p>
    <w:p>
      <w:pPr/>
      <w:r>
        <w:rPr>
          <w:rFonts w:ascii="Arial" w:hAnsi="Arial"/>
          <w:b/>
          <w:sz w:val="24"/>
        </w:rPr>
        <w:t>潛在影響:</w:t>
      </w:r>
    </w:p>
    <w:p>
      <w:pPr>
        <w:pStyle w:val="ListBullet"/>
      </w:pPr>
      <w:r>
        <w:rPr>
          <w:rFonts w:ascii="Arial" w:hAnsi="Arial"/>
          <w:sz w:val="24"/>
        </w:rPr>
        <w:t>如果成功在AI摘要中整合廣告且不損害用戶體驗</w:t>
      </w:r>
    </w:p>
    <w:p>
      <w:pPr>
        <w:pStyle w:val="ListBullet"/>
      </w:pPr>
      <w:r>
        <w:rPr>
          <w:rFonts w:ascii="Arial" w:hAnsi="Arial"/>
          <w:sz w:val="24"/>
        </w:rPr>
        <w:t xml:space="preserve">預估可新增年營收: </w:t>
      </w:r>
      <w:r>
        <w:rPr>
          <w:rFonts w:ascii="Arial" w:hAnsi="Arial"/>
          <w:b/>
          <w:sz w:val="24"/>
        </w:rPr>
        <w:t>$5B - $10B</w:t>
      </w:r>
      <w:r>
        <w:rPr>
          <w:rFonts w:ascii="Arial" w:hAnsi="Arial"/>
          <w:sz w:val="24"/>
        </w:rPr>
        <w:t xml:space="preserve"> (2-3%增量)</w:t>
      </w:r>
    </w:p>
    <w:p>
      <w:pPr>
        <w:pStyle w:val="ListBullet"/>
      </w:pPr>
      <w:r>
        <w:rPr>
          <w:rFonts w:ascii="Arial" w:hAnsi="Arial"/>
          <w:sz w:val="24"/>
        </w:rPr>
        <w:t>時間點: 2026 Q2-Q3開始顯著貢獻</w:t>
      </w:r>
    </w:p>
    <w:p>
      <w:pPr/>
      <w:r>
        <w:rPr>
          <w:rFonts w:ascii="Arial" w:hAnsi="Arial"/>
          <w:b/>
          <w:sz w:val="24"/>
        </w:rPr>
        <w:t>風險:</w:t>
      </w:r>
    </w:p>
    <w:p>
      <w:pPr>
        <w:pStyle w:val="ListBullet"/>
      </w:pPr>
      <w:r>
        <w:rPr>
          <w:rFonts w:ascii="Arial" w:hAnsi="Arial"/>
          <w:sz w:val="24"/>
        </w:rPr>
        <w:t>用戶反彈 (廣告過多影響體驗)</w:t>
      </w:r>
    </w:p>
    <w:p>
      <w:pPr>
        <w:pStyle w:val="ListBullet"/>
      </w:pPr>
      <w:r>
        <w:rPr>
          <w:rFonts w:ascii="Arial" w:hAnsi="Arial"/>
          <w:sz w:val="24"/>
        </w:rPr>
        <w:t>廣告點擊率低於預期</w:t>
      </w:r>
    </w:p>
    <w:p>
      <w:pPr/>
      <w:r>
        <w:rPr>
          <w:rFonts w:ascii="Arial" w:hAnsi="Arial"/>
          <w:sz w:val="24"/>
        </w:rPr>
        <w:t xml:space="preserve">#### ✅ </w:t>
      </w:r>
      <w:r>
        <w:rPr>
          <w:rFonts w:ascii="Arial" w:hAnsi="Arial"/>
          <w:b/>
          <w:sz w:val="24"/>
        </w:rPr>
        <w:t>突破點2: Google Cloud獲利能力改善</w:t>
      </w:r>
    </w:p>
    <w:p>
      <w:pPr/>
      <w:r>
        <w:rPr>
          <w:rFonts w:ascii="Arial" w:hAnsi="Arial"/>
          <w:b/>
          <w:sz w:val="24"/>
        </w:rPr>
        <w:t>2026年目標:</w:t>
      </w:r>
    </w:p>
    <w:p>
      <w:pPr>
        <w:pStyle w:val="ListBullet"/>
      </w:pPr>
      <w:r>
        <w:rPr>
          <w:rFonts w:ascii="Arial" w:hAnsi="Arial"/>
          <w:sz w:val="24"/>
        </w:rPr>
        <w:t>營收: $50B+ (YoY +25%)</w:t>
      </w:r>
    </w:p>
    <w:p>
      <w:pPr>
        <w:pStyle w:val="ListBullet"/>
      </w:pPr>
      <w:r>
        <w:rPr>
          <w:rFonts w:ascii="Arial" w:hAnsi="Arial"/>
          <w:sz w:val="24"/>
        </w:rPr>
        <w:t>營業利潤率: 12-15% (vs 2025年的8-10%)</w:t>
      </w:r>
    </w:p>
    <w:p>
      <w:pPr/>
      <w:r>
        <w:rPr>
          <w:rFonts w:ascii="Arial" w:hAnsi="Arial"/>
          <w:b/>
          <w:sz w:val="24"/>
        </w:rPr>
        <w:t>驅動因素:</w:t>
      </w:r>
    </w:p>
    <w:p>
      <w:pPr>
        <w:pStyle w:val="ListBullet"/>
      </w:pPr>
      <w:r>
        <w:rPr>
          <w:rFonts w:ascii="Arial" w:hAnsi="Arial"/>
          <w:sz w:val="24"/>
        </w:rPr>
        <w:t>AI工作負載利潤率更高 (GPU租賃毛利率50%+)</w:t>
      </w:r>
    </w:p>
    <w:p>
      <w:pPr>
        <w:pStyle w:val="ListBullet"/>
      </w:pPr>
      <w:r>
        <w:rPr>
          <w:rFonts w:ascii="Arial" w:hAnsi="Arial"/>
          <w:sz w:val="24"/>
        </w:rPr>
        <w:t>規模效應開始顯現</w:t>
      </w:r>
    </w:p>
    <w:p>
      <w:pPr>
        <w:pStyle w:val="ListBullet"/>
      </w:pPr>
      <w:r>
        <w:rPr>
          <w:rFonts w:ascii="Arial" w:hAnsi="Arial"/>
          <w:sz w:val="24"/>
        </w:rPr>
        <w:t>減少低利潤率客戶的補貼</w:t>
      </w:r>
    </w:p>
    <w:p>
      <w:pPr/>
      <w:r>
        <w:rPr>
          <w:rFonts w:ascii="Arial" w:hAnsi="Arial"/>
          <w:b/>
          <w:sz w:val="24"/>
        </w:rPr>
        <w:t>潛在影響:</w:t>
      </w:r>
    </w:p>
    <w:p>
      <w:pPr>
        <w:pStyle w:val="ListBullet"/>
      </w:pPr>
      <w:r>
        <w:rPr>
          <w:rFonts w:ascii="Arial" w:hAnsi="Arial"/>
          <w:sz w:val="24"/>
        </w:rPr>
        <w:t>Cloud營業利潤從2025年的$4B提升至2026年的$6-7.5B</w:t>
      </w:r>
    </w:p>
    <w:p>
      <w:pPr>
        <w:pStyle w:val="ListBullet"/>
      </w:pPr>
      <w:r>
        <w:rPr>
          <w:rFonts w:ascii="Arial" w:hAnsi="Arial"/>
          <w:sz w:val="24"/>
        </w:rPr>
        <w:t>改善整體獲利能力,提升本益比</w:t>
      </w:r>
    </w:p>
    <w:p>
      <w:pPr/>
      <w:r>
        <w:rPr>
          <w:rFonts w:ascii="Arial" w:hAnsi="Arial"/>
          <w:sz w:val="24"/>
        </w:rPr>
        <w:t xml:space="preserve">#### ✅ </w:t>
      </w:r>
      <w:r>
        <w:rPr>
          <w:rFonts w:ascii="Arial" w:hAnsi="Arial"/>
          <w:b/>
          <w:sz w:val="24"/>
        </w:rPr>
        <w:t>突破點3: YouTube Shorts全面營利化</w:t>
      </w:r>
    </w:p>
    <w:p>
      <w:pPr/>
      <w:r>
        <w:rPr>
          <w:rFonts w:ascii="Arial" w:hAnsi="Arial"/>
          <w:b/>
          <w:sz w:val="24"/>
        </w:rPr>
        <w:t>現況:</w:t>
      </w:r>
    </w:p>
    <w:p>
      <w:pPr>
        <w:pStyle w:val="ListBullet"/>
      </w:pPr>
      <w:r>
        <w:rPr>
          <w:rFonts w:ascii="Arial" w:hAnsi="Arial"/>
          <w:sz w:val="24"/>
        </w:rPr>
        <w:t>Shorts日均觀看時間已超過700億分鐘</w:t>
      </w:r>
    </w:p>
    <w:p>
      <w:pPr>
        <w:pStyle w:val="ListBullet"/>
      </w:pPr>
      <w:r>
        <w:rPr>
          <w:rFonts w:ascii="Arial" w:hAnsi="Arial"/>
          <w:sz w:val="24"/>
        </w:rPr>
        <w:t>但廣告營收佔比仍低於10%</w:t>
      </w:r>
    </w:p>
    <w:p>
      <w:pPr/>
      <w:r>
        <w:rPr>
          <w:rFonts w:ascii="Arial" w:hAnsi="Arial"/>
          <w:b/>
          <w:sz w:val="24"/>
        </w:rPr>
        <w:t>2026年目標:</w:t>
      </w:r>
    </w:p>
    <w:p>
      <w:pPr>
        <w:pStyle w:val="ListBullet"/>
      </w:pPr>
      <w:r>
        <w:rPr>
          <w:rFonts w:ascii="Arial" w:hAnsi="Arial"/>
          <w:sz w:val="24"/>
        </w:rPr>
        <w:t>Shorts廣告營收佔YouTube總廣告15-20%</w:t>
      </w:r>
    </w:p>
    <w:p>
      <w:pPr>
        <w:pStyle w:val="ListBullet"/>
      </w:pPr>
      <w:r>
        <w:rPr>
          <w:rFonts w:ascii="Arial" w:hAnsi="Arial"/>
          <w:sz w:val="24"/>
        </w:rPr>
        <w:t xml:space="preserve">預估新增營收: </w:t>
      </w:r>
      <w:r>
        <w:rPr>
          <w:rFonts w:ascii="Arial" w:hAnsi="Arial"/>
          <w:b/>
          <w:sz w:val="24"/>
        </w:rPr>
        <w:t>$3B - $5B</w:t>
      </w:r>
    </w:p>
    <w:p>
      <w:pPr/>
      <w:r>
        <w:rPr>
          <w:rFonts w:ascii="Arial" w:hAnsi="Arial"/>
          <w:b/>
          <w:sz w:val="24"/>
        </w:rPr>
        <w:t>可行性:</w:t>
      </w:r>
      <w:r>
        <w:rPr>
          <w:rFonts w:ascii="Arial" w:hAnsi="Arial"/>
          <w:sz w:val="24"/>
        </w:rPr>
        <w:t xml:space="preserve"> 高 (TikTok、Instagram Reels已證明短影片廣告模式)</w:t>
      </w:r>
    </w:p>
    <w:p>
      <w:pPr/>
      <w:r>
        <w:rPr>
          <w:rFonts w:ascii="Arial" w:hAnsi="Arial"/>
          <w:sz w:val="24"/>
        </w:rPr>
        <w:t xml:space="preserve">#### ⚠️ </w:t>
      </w:r>
      <w:r>
        <w:rPr>
          <w:rFonts w:ascii="Arial" w:hAnsi="Arial"/>
          <w:b/>
          <w:sz w:val="24"/>
        </w:rPr>
        <w:t>突破點4: AI基礎設施投資回報顯現</w:t>
      </w:r>
    </w:p>
    <w:p>
      <w:pPr/>
      <w:r>
        <w:rPr>
          <w:rFonts w:ascii="Arial" w:hAnsi="Arial"/>
          <w:b/>
          <w:sz w:val="24"/>
        </w:rPr>
        <w:t>樂觀情境:</w:t>
      </w:r>
    </w:p>
    <w:p>
      <w:pPr>
        <w:pStyle w:val="ListBullet"/>
      </w:pPr>
      <w:r>
        <w:rPr>
          <w:rFonts w:ascii="Arial" w:hAnsi="Arial"/>
          <w:sz w:val="24"/>
        </w:rPr>
        <w:t>Gemini API業務快速成長 (類似OpenAI的ChatGPT API)</w:t>
      </w:r>
    </w:p>
    <w:p>
      <w:pPr>
        <w:pStyle w:val="ListBullet"/>
      </w:pPr>
      <w:r>
        <w:rPr>
          <w:rFonts w:ascii="Arial" w:hAnsi="Arial"/>
          <w:sz w:val="24"/>
        </w:rPr>
        <w:t>企業客戶大規模採用Gemini企業版</w:t>
      </w:r>
    </w:p>
    <w:p>
      <w:pPr>
        <w:pStyle w:val="ListBullet"/>
      </w:pPr>
      <w:r>
        <w:rPr>
          <w:rFonts w:ascii="Arial" w:hAnsi="Arial"/>
          <w:sz w:val="24"/>
        </w:rPr>
        <w:t xml:space="preserve">AI產品線2026年貢獻營收: </w:t>
      </w:r>
      <w:r>
        <w:rPr>
          <w:rFonts w:ascii="Arial" w:hAnsi="Arial"/>
          <w:b/>
          <w:sz w:val="24"/>
        </w:rPr>
        <w:t>$8B - $12B</w:t>
      </w:r>
    </w:p>
    <w:p>
      <w:pPr/>
      <w:r>
        <w:rPr>
          <w:rFonts w:ascii="Arial" w:hAnsi="Arial"/>
          <w:b/>
          <w:sz w:val="24"/>
        </w:rPr>
        <w:t>悲觀情境:</w:t>
      </w:r>
    </w:p>
    <w:p>
      <w:pPr>
        <w:pStyle w:val="ListBullet"/>
      </w:pPr>
      <w:r>
        <w:rPr>
          <w:rFonts w:ascii="Arial" w:hAnsi="Arial"/>
          <w:sz w:val="24"/>
        </w:rPr>
        <w:t>AI產品仍在早期階段,營收貢獻有限</w:t>
      </w:r>
    </w:p>
    <w:p>
      <w:pPr>
        <w:pStyle w:val="ListBullet"/>
      </w:pPr>
      <w:r>
        <w:rPr>
          <w:rFonts w:ascii="Arial" w:hAnsi="Arial"/>
          <w:sz w:val="24"/>
        </w:rPr>
        <w:t>需要持續燒錢補貼市場教育</w:t>
      </w:r>
    </w:p>
    <w:p>
      <w:pPr>
        <w:pStyle w:val="ListBullet"/>
      </w:pPr>
      <w:r>
        <w:rPr>
          <w:rFonts w:ascii="Arial" w:hAnsi="Arial"/>
          <w:sz w:val="24"/>
        </w:rPr>
        <w:t>2026年實際貢獻可能僅$3-5B</w:t>
      </w:r>
    </w:p>
    <w:p>
      <w:pPr/>
      <w:r>
        <w:rPr>
          <w:rFonts w:ascii="Arial" w:hAnsi="Arial"/>
          <w:sz w:val="24"/>
        </w:rPr>
        <w:t xml:space="preserve">#### ❌ </w:t>
      </w:r>
      <w:r>
        <w:rPr>
          <w:rFonts w:ascii="Arial" w:hAnsi="Arial"/>
          <w:b/>
          <w:sz w:val="24"/>
        </w:rPr>
        <w:t>潛在阻礙: 監管與法律風險</w:t>
      </w:r>
    </w:p>
    <w:p>
      <w:pPr/>
      <w:r>
        <w:rPr>
          <w:rFonts w:ascii="Arial" w:hAnsi="Arial"/>
          <w:b/>
          <w:sz w:val="24"/>
        </w:rPr>
        <w:t>DOJ反壟斷案:</w:t>
      </w:r>
    </w:p>
    <w:p>
      <w:pPr>
        <w:pStyle w:val="ListBullet"/>
      </w:pPr>
      <w:r>
        <w:rPr>
          <w:rFonts w:ascii="Arial" w:hAnsi="Arial"/>
          <w:b/>
          <w:sz w:val="24"/>
        </w:rPr>
        <w:t>2024年8月判決:</w:t>
      </w:r>
      <w:r>
        <w:rPr>
          <w:rFonts w:ascii="Arial" w:hAnsi="Arial"/>
          <w:sz w:val="24"/>
        </w:rPr>
        <w:t xml:space="preserve"> Google搜尋壟斷成立</w:t>
      </w:r>
    </w:p>
    <w:p>
      <w:pPr>
        <w:pStyle w:val="ListBullet"/>
      </w:pPr>
      <w:r>
        <w:rPr>
          <w:rFonts w:ascii="Arial" w:hAnsi="Arial"/>
          <w:b/>
          <w:sz w:val="24"/>
        </w:rPr>
        <w:t>2026年可能的補救措施:</w:t>
      </w:r>
    </w:p>
    <w:p>
      <w:pPr/>
      <w:r>
        <w:rPr>
          <w:rFonts w:ascii="Arial" w:hAnsi="Arial"/>
          <w:sz w:val="24"/>
        </w:rPr>
        <w:t xml:space="preserve">  - 被迫與其他搜尋引擎分享數據</w:t>
      </w:r>
    </w:p>
    <w:p>
      <w:pPr/>
      <w:r>
        <w:rPr>
          <w:rFonts w:ascii="Arial" w:hAnsi="Arial"/>
          <w:sz w:val="24"/>
        </w:rPr>
        <w:t xml:space="preserve">  - 限制Google預設搜尋引擎協議 (如與Apple的協議)</w:t>
      </w:r>
    </w:p>
    <w:p>
      <w:pPr/>
      <w:r>
        <w:rPr>
          <w:rFonts w:ascii="Arial" w:hAnsi="Arial"/>
          <w:sz w:val="24"/>
        </w:rPr>
        <w:t xml:space="preserve">  - 最壞情境: 被拆分 (可能性低但不為零)</w:t>
      </w:r>
    </w:p>
    <w:p>
      <w:pPr/>
      <w:r>
        <w:rPr>
          <w:rFonts w:ascii="Arial" w:hAnsi="Arial"/>
          <w:b/>
          <w:sz w:val="24"/>
        </w:rPr>
        <w:t>潛在影響:</w:t>
      </w:r>
    </w:p>
    <w:p>
      <w:pPr>
        <w:pStyle w:val="ListBullet"/>
      </w:pPr>
      <w:r>
        <w:rPr>
          <w:rFonts w:ascii="Arial" w:hAnsi="Arial"/>
          <w:sz w:val="24"/>
        </w:rPr>
        <w:t>如果失去Apple預設搜尋引擎地位,每年營收損失可達$15-20B</w:t>
      </w:r>
    </w:p>
    <w:p>
      <w:pPr>
        <w:pStyle w:val="ListBullet"/>
      </w:pPr>
      <w:r>
        <w:rPr>
          <w:rFonts w:ascii="Arial" w:hAnsi="Arial"/>
          <w:sz w:val="24"/>
        </w:rPr>
        <w:t>但判決執行可能需要數年</w:t>
      </w:r>
    </w:p>
    <w:p>
      <w:pPr>
        <w:pStyle w:val="Heading3"/>
      </w:pPr>
      <w:r>
        <w:t>8.3 **綜合評估: 2026年能否突破成長瓶頸?**</w:t>
      </w:r>
    </w:p>
    <w:p>
      <w:pPr/>
      <w:r>
        <w:rPr>
          <w:rFonts w:ascii="Arial" w:hAnsi="Arial"/>
          <w:sz w:val="24"/>
        </w:rPr>
        <w:t xml:space="preserve">#### </w:t>
      </w:r>
      <w:r>
        <w:rPr>
          <w:rFonts w:ascii="Arial" w:hAnsi="Arial"/>
          <w:b/>
          <w:sz w:val="24"/>
        </w:rPr>
        <w:t>基準情境 (60%機率):</w:t>
      </w:r>
    </w:p>
    <w:p>
      <w:pPr>
        <w:pStyle w:val="ListBullet"/>
      </w:pPr>
      <w:r>
        <w:rPr>
          <w:rFonts w:ascii="Arial" w:hAnsi="Arial"/>
          <w:sz w:val="24"/>
        </w:rPr>
        <w:t>2026年營收: $460B (YoY +14%)</w:t>
      </w:r>
    </w:p>
    <w:p>
      <w:pPr>
        <w:pStyle w:val="ListBullet"/>
      </w:pPr>
      <w:r>
        <w:rPr>
          <w:rFonts w:ascii="Arial" w:hAnsi="Arial"/>
          <w:sz w:val="24"/>
        </w:rPr>
        <w:t>淨利潤: $155B (YoY +17%)</w:t>
      </w:r>
    </w:p>
    <w:p>
      <w:pPr>
        <w:pStyle w:val="ListBullet"/>
      </w:pPr>
      <w:r>
        <w:rPr>
          <w:rFonts w:ascii="Arial" w:hAnsi="Arial"/>
          <w:b/>
          <w:sz w:val="24"/>
        </w:rPr>
        <w:t>結論:</w:t>
      </w:r>
      <w:r>
        <w:rPr>
          <w:rFonts w:ascii="Arial" w:hAnsi="Arial"/>
          <w:sz w:val="24"/>
        </w:rPr>
        <w:t xml:space="preserve"> 穩健成長但無爆發性突破</w:t>
      </w:r>
    </w:p>
    <w:p>
      <w:pPr/>
      <w:r>
        <w:rPr>
          <w:rFonts w:ascii="Arial" w:hAnsi="Arial"/>
          <w:b/>
          <w:sz w:val="24"/>
        </w:rPr>
        <w:t>成長來源拆解:</w:t>
      </w:r>
    </w:p>
    <w:p>
      <w:pPr>
        <w:pStyle w:val="ListBullet"/>
      </w:pPr>
      <w:r>
        <w:rPr>
          <w:rFonts w:ascii="Arial" w:hAnsi="Arial"/>
          <w:sz w:val="24"/>
        </w:rPr>
        <w:t>廣告業務: +10-12% (受AI Overviews營利化支撐)</w:t>
      </w:r>
    </w:p>
    <w:p>
      <w:pPr>
        <w:pStyle w:val="ListBullet"/>
      </w:pPr>
      <w:r>
        <w:rPr>
          <w:rFonts w:ascii="Arial" w:hAnsi="Arial"/>
          <w:sz w:val="24"/>
        </w:rPr>
        <w:t>Google Cloud: +25% (高成長持續)</w:t>
      </w:r>
    </w:p>
    <w:p>
      <w:pPr>
        <w:pStyle w:val="ListBullet"/>
      </w:pPr>
      <w:r>
        <w:rPr>
          <w:rFonts w:ascii="Arial" w:hAnsi="Arial"/>
          <w:sz w:val="24"/>
        </w:rPr>
        <w:t>訂閱與其他: +18-20%</w:t>
      </w:r>
    </w:p>
    <w:p>
      <w:pPr/>
      <w:r>
        <w:rPr>
          <w:rFonts w:ascii="Arial" w:hAnsi="Arial"/>
          <w:sz w:val="24"/>
        </w:rPr>
        <w:t xml:space="preserve">#### </w:t>
      </w:r>
      <w:r>
        <w:rPr>
          <w:rFonts w:ascii="Arial" w:hAnsi="Arial"/>
          <w:b/>
          <w:sz w:val="24"/>
        </w:rPr>
        <w:t>樂觀情境 (25%機率):</w:t>
      </w:r>
    </w:p>
    <w:p>
      <w:pPr>
        <w:pStyle w:val="ListBullet"/>
      </w:pPr>
      <w:r>
        <w:rPr>
          <w:rFonts w:ascii="Arial" w:hAnsi="Arial"/>
          <w:sz w:val="24"/>
        </w:rPr>
        <w:t>2026年營收: $485B (YoY +20%)</w:t>
      </w:r>
    </w:p>
    <w:p>
      <w:pPr>
        <w:pStyle w:val="ListBullet"/>
      </w:pPr>
      <w:r>
        <w:rPr>
          <w:rFonts w:ascii="Arial" w:hAnsi="Arial"/>
          <w:sz w:val="24"/>
        </w:rPr>
        <w:t>淨利潤: $170B (YoY +29%)</w:t>
      </w:r>
    </w:p>
    <w:p>
      <w:pPr>
        <w:pStyle w:val="ListBullet"/>
      </w:pPr>
      <w:r>
        <w:rPr>
          <w:rFonts w:ascii="Arial" w:hAnsi="Arial"/>
          <w:b/>
          <w:sz w:val="24"/>
        </w:rPr>
        <w:t>觸發因素:</w:t>
      </w:r>
    </w:p>
    <w:p>
      <w:pPr/>
      <w:r>
        <w:rPr>
          <w:rFonts w:ascii="Arial" w:hAnsi="Arial"/>
          <w:sz w:val="24"/>
        </w:rPr>
        <w:t xml:space="preserve">  - AI產品線超預期 (Gemini API爆發成長)</w:t>
      </w:r>
    </w:p>
    <w:p>
      <w:pPr/>
      <w:r>
        <w:rPr>
          <w:rFonts w:ascii="Arial" w:hAnsi="Arial"/>
          <w:sz w:val="24"/>
        </w:rPr>
        <w:t xml:space="preserve">  - Cloud獲利能力顯著改善</w:t>
      </w:r>
    </w:p>
    <w:p>
      <w:pPr/>
      <w:r>
        <w:rPr>
          <w:rFonts w:ascii="Arial" w:hAnsi="Arial"/>
          <w:sz w:val="24"/>
        </w:rPr>
        <w:t xml:space="preserve">  - Shorts營利化超預期</w:t>
      </w:r>
    </w:p>
    <w:p>
      <w:pPr/>
      <w:r>
        <w:rPr>
          <w:rFonts w:ascii="Arial" w:hAnsi="Arial"/>
          <w:sz w:val="24"/>
        </w:rPr>
        <w:t xml:space="preserve">#### </w:t>
      </w:r>
      <w:r>
        <w:rPr>
          <w:rFonts w:ascii="Arial" w:hAnsi="Arial"/>
          <w:b/>
          <w:sz w:val="24"/>
        </w:rPr>
        <w:t>悲觀情境 (15%機率):</w:t>
      </w:r>
    </w:p>
    <w:p>
      <w:pPr>
        <w:pStyle w:val="ListBullet"/>
      </w:pPr>
      <w:r>
        <w:rPr>
          <w:rFonts w:ascii="Arial" w:hAnsi="Arial"/>
          <w:sz w:val="24"/>
        </w:rPr>
        <w:t>2026年營收: $435B (YoY +8%)</w:t>
      </w:r>
    </w:p>
    <w:p>
      <w:pPr>
        <w:pStyle w:val="ListBullet"/>
      </w:pPr>
      <w:r>
        <w:rPr>
          <w:rFonts w:ascii="Arial" w:hAnsi="Arial"/>
          <w:sz w:val="24"/>
        </w:rPr>
        <w:t>淨利潤: $140B (YoY +6%)</w:t>
      </w:r>
    </w:p>
    <w:p>
      <w:pPr>
        <w:pStyle w:val="ListBullet"/>
      </w:pPr>
      <w:r>
        <w:rPr>
          <w:rFonts w:ascii="Arial" w:hAnsi="Arial"/>
          <w:b/>
          <w:sz w:val="24"/>
        </w:rPr>
        <w:t>風險因素:</w:t>
      </w:r>
    </w:p>
    <w:p>
      <w:pPr/>
      <w:r>
        <w:rPr>
          <w:rFonts w:ascii="Arial" w:hAnsi="Arial"/>
          <w:sz w:val="24"/>
        </w:rPr>
        <w:t xml:space="preserve">  - DOJ判決執行開始衝擊搜尋業務</w:t>
      </w:r>
    </w:p>
    <w:p>
      <w:pPr/>
      <w:r>
        <w:rPr>
          <w:rFonts w:ascii="Arial" w:hAnsi="Arial"/>
          <w:sz w:val="24"/>
        </w:rPr>
        <w:t xml:space="preserve">  - AI Overviews廣告效果不佳</w:t>
      </w:r>
    </w:p>
    <w:p>
      <w:pPr/>
      <w:r>
        <w:rPr>
          <w:rFonts w:ascii="Arial" w:hAnsi="Arial"/>
          <w:sz w:val="24"/>
        </w:rPr>
        <w:t xml:space="preserve">  - 經濟衰退影響廣告支出</w:t>
      </w:r>
    </w:p>
    <w:p>
      <w:r>
        <w:t>__________________________________________________</w:t>
      </w:r>
    </w:p>
    <w:p>
      <w:pPr>
        <w:pStyle w:val="Heading2"/>
      </w:pPr>
      <w:r>
        <w:t>九、估值分析</w:t>
      </w:r>
    </w:p>
    <w:p>
      <w:pPr>
        <w:pStyle w:val="Heading3"/>
      </w:pPr>
      <w:r>
        <w:t>9.1 當前估值水準</w:t>
      </w:r>
    </w:p>
    <w:p>
      <w:pPr/>
      <w:r>
        <w:rPr>
          <w:rFonts w:ascii="Arial" w:hAnsi="Arial"/>
          <w:b/>
          <w:sz w:val="24"/>
        </w:rPr>
        <w:t>市場數據 (2026/2/19):</w:t>
      </w:r>
    </w:p>
    <w:p>
      <w:pPr>
        <w:pStyle w:val="ListBullet"/>
      </w:pPr>
      <w:r>
        <w:rPr>
          <w:rFonts w:ascii="Arial" w:hAnsi="Arial"/>
          <w:sz w:val="24"/>
        </w:rPr>
        <w:t>股價: $303.33</w:t>
      </w:r>
    </w:p>
    <w:p>
      <w:pPr>
        <w:pStyle w:val="ListBullet"/>
      </w:pPr>
      <w:r>
        <w:rPr>
          <w:rFonts w:ascii="Arial" w:hAnsi="Arial"/>
          <w:sz w:val="24"/>
        </w:rPr>
        <w:t>市值: $3.67兆</w:t>
      </w:r>
    </w:p>
    <w:p>
      <w:pPr>
        <w:pStyle w:val="ListBullet"/>
      </w:pPr>
      <w:r>
        <w:rPr>
          <w:rFonts w:ascii="Arial" w:hAnsi="Arial"/>
          <w:sz w:val="24"/>
        </w:rPr>
        <w:t>P/E (TTM): 28.1x</w:t>
      </w:r>
    </w:p>
    <w:p>
      <w:pPr>
        <w:pStyle w:val="ListBullet"/>
      </w:pPr>
      <w:r>
        <w:rPr>
          <w:rFonts w:ascii="Arial" w:hAnsi="Arial"/>
          <w:sz w:val="24"/>
        </w:rPr>
        <w:t>Forward P/E (2026E): 23.3x</w:t>
      </w:r>
    </w:p>
    <w:p>
      <w:pPr>
        <w:pStyle w:val="ListBullet"/>
      </w:pPr>
      <w:r>
        <w:rPr>
          <w:rFonts w:ascii="Arial" w:hAnsi="Arial"/>
          <w:sz w:val="24"/>
        </w:rPr>
        <w:t>P/S (TTM): 9.2x</w:t>
      </w:r>
    </w:p>
    <w:p>
      <w:pPr>
        <w:pStyle w:val="ListBullet"/>
      </w:pPr>
      <w:r>
        <w:rPr>
          <w:rFonts w:ascii="Arial" w:hAnsi="Arial"/>
          <w:sz w:val="24"/>
        </w:rPr>
        <w:t>EV/EBITDA: 19.95x</w:t>
      </w:r>
    </w:p>
    <w:p>
      <w:pPr>
        <w:pStyle w:val="Heading3"/>
      </w:pPr>
      <w:r>
        <w:t>9.2 歷史估值區間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指標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當前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5年平均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估值位置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P/E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28.1x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25.5x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略高於均值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P/S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9.2x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6.8x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**明顯偏高**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EV/EBITDA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19.95x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16.2x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略高</w:t>
            </w:r>
          </w:p>
        </w:tc>
      </w:tr>
    </w:tbl>
    <w:p>
      <w:pPr>
        <w:pStyle w:val="Heading3"/>
      </w:pPr>
      <w:r>
        <w:t>9.3 與同業比較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公司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P/E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Forward P/E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P/S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營收成長率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**GOOGL**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28.1x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23.3x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9.2x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15%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META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26.5x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21.8x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10.1x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22%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MSFT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35.2x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31.5x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12.8x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16%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AMZN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42.8x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35.6x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3.2x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11%</w:t>
            </w:r>
          </w:p>
        </w:tc>
      </w:tr>
    </w:tbl>
    <w:p>
      <w:pPr/>
      <w:r>
        <w:rPr>
          <w:rFonts w:ascii="Arial" w:hAnsi="Arial"/>
          <w:b/>
          <w:sz w:val="24"/>
        </w:rPr>
        <w:t>結論:</w:t>
      </w:r>
    </w:p>
    <w:p>
      <w:pPr>
        <w:pStyle w:val="ListBullet"/>
      </w:pPr>
      <w:r>
        <w:rPr>
          <w:rFonts w:ascii="Arial" w:hAnsi="Arial"/>
          <w:sz w:val="24"/>
        </w:rPr>
        <w:t>Alphabet估值相對合理,介於META與MSFT之間</w:t>
      </w:r>
    </w:p>
    <w:p>
      <w:pPr>
        <w:pStyle w:val="ListBullet"/>
      </w:pPr>
      <w:r>
        <w:rPr>
          <w:rFonts w:ascii="Arial" w:hAnsi="Arial"/>
          <w:sz w:val="24"/>
        </w:rPr>
        <w:t>P/E低於MSFT但高於META</w:t>
      </w:r>
    </w:p>
    <w:p>
      <w:pPr>
        <w:pStyle w:val="ListBullet"/>
      </w:pPr>
      <w:r>
        <w:rPr>
          <w:rFonts w:ascii="Arial" w:hAnsi="Arial"/>
          <w:sz w:val="24"/>
        </w:rPr>
        <w:t>考量成長性與獲利能力,估值未明顯高估</w:t>
      </w:r>
    </w:p>
    <w:p>
      <w:pPr>
        <w:pStyle w:val="Heading3"/>
      </w:pPr>
      <w:r>
        <w:t>9.4 目標價區間</w:t>
      </w:r>
    </w:p>
    <w:p>
      <w:pPr/>
      <w:r>
        <w:rPr>
          <w:rFonts w:ascii="Arial" w:hAnsi="Arial"/>
          <w:b/>
          <w:sz w:val="24"/>
        </w:rPr>
        <w:t>分析師共識 (來自Bloomberg彙整):</w:t>
      </w:r>
    </w:p>
    <w:p>
      <w:pPr>
        <w:pStyle w:val="ListBullet"/>
      </w:pPr>
      <w:r>
        <w:rPr>
          <w:rFonts w:ascii="Arial" w:hAnsi="Arial"/>
          <w:b/>
          <w:sz w:val="24"/>
        </w:rPr>
        <w:t>平均目標價:</w:t>
      </w:r>
      <w:r>
        <w:rPr>
          <w:rFonts w:ascii="Arial" w:hAnsi="Arial"/>
          <w:sz w:val="24"/>
        </w:rPr>
        <w:t xml:space="preserve"> $373.23</w:t>
      </w:r>
    </w:p>
    <w:p>
      <w:pPr>
        <w:pStyle w:val="ListBullet"/>
      </w:pPr>
      <w:r>
        <w:rPr>
          <w:rFonts w:ascii="Arial" w:hAnsi="Arial"/>
          <w:b/>
          <w:sz w:val="24"/>
        </w:rPr>
        <w:t>最高目標價:</w:t>
      </w:r>
      <w:r>
        <w:rPr>
          <w:rFonts w:ascii="Arial" w:hAnsi="Arial"/>
          <w:sz w:val="24"/>
        </w:rPr>
        <w:t xml:space="preserve"> $443.00 (Guggenheim)</w:t>
      </w:r>
    </w:p>
    <w:p>
      <w:pPr>
        <w:pStyle w:val="ListBullet"/>
      </w:pPr>
      <w:r>
        <w:rPr>
          <w:rFonts w:ascii="Arial" w:hAnsi="Arial"/>
          <w:b/>
          <w:sz w:val="24"/>
        </w:rPr>
        <w:t>最低目標價:</w:t>
      </w:r>
      <w:r>
        <w:rPr>
          <w:rFonts w:ascii="Arial" w:hAnsi="Arial"/>
          <w:sz w:val="24"/>
        </w:rPr>
        <w:t xml:space="preserve"> $185.00</w:t>
      </w:r>
    </w:p>
    <w:p>
      <w:pPr>
        <w:pStyle w:val="ListBullet"/>
      </w:pPr>
      <w:r>
        <w:rPr>
          <w:rFonts w:ascii="Arial" w:hAnsi="Arial"/>
          <w:b/>
          <w:sz w:val="24"/>
        </w:rPr>
        <w:t>上漲空間:</w:t>
      </w:r>
      <w:r>
        <w:rPr>
          <w:rFonts w:ascii="Arial" w:hAnsi="Arial"/>
          <w:sz w:val="24"/>
        </w:rPr>
        <w:t xml:space="preserve"> +23% (基於平均目標價)</w:t>
      </w:r>
    </w:p>
    <w:p>
      <w:pPr/>
      <w:r>
        <w:rPr>
          <w:rFonts w:ascii="Arial" w:hAnsi="Arial"/>
          <w:b/>
          <w:sz w:val="24"/>
        </w:rPr>
        <w:t>評級分布:</w:t>
      </w:r>
    </w:p>
    <w:p>
      <w:pPr>
        <w:pStyle w:val="ListBullet"/>
      </w:pPr>
      <w:r>
        <w:rPr>
          <w:rFonts w:ascii="Arial" w:hAnsi="Arial"/>
          <w:b/>
          <w:sz w:val="24"/>
        </w:rPr>
        <w:t>買進:</w:t>
      </w:r>
      <w:r>
        <w:rPr>
          <w:rFonts w:ascii="Arial" w:hAnsi="Arial"/>
          <w:sz w:val="24"/>
        </w:rPr>
        <w:t xml:space="preserve"> 38家</w:t>
      </w:r>
    </w:p>
    <w:p>
      <w:pPr>
        <w:pStyle w:val="ListBullet"/>
      </w:pPr>
      <w:r>
        <w:rPr>
          <w:rFonts w:ascii="Arial" w:hAnsi="Arial"/>
          <w:b/>
          <w:sz w:val="24"/>
        </w:rPr>
        <w:t>持有:</w:t>
      </w:r>
      <w:r>
        <w:rPr>
          <w:rFonts w:ascii="Arial" w:hAnsi="Arial"/>
          <w:sz w:val="24"/>
        </w:rPr>
        <w:t xml:space="preserve"> 5家</w:t>
      </w:r>
    </w:p>
    <w:p>
      <w:pPr>
        <w:pStyle w:val="ListBullet"/>
      </w:pPr>
      <w:r>
        <w:rPr>
          <w:rFonts w:ascii="Arial" w:hAnsi="Arial"/>
          <w:b/>
          <w:sz w:val="24"/>
        </w:rPr>
        <w:t>賣出:</w:t>
      </w:r>
      <w:r>
        <w:rPr>
          <w:rFonts w:ascii="Arial" w:hAnsi="Arial"/>
          <w:sz w:val="24"/>
        </w:rPr>
        <w:t xml:space="preserve"> 0家</w:t>
      </w:r>
    </w:p>
    <w:p>
      <w:r>
        <w:t>__________________________________________________</w:t>
      </w:r>
    </w:p>
    <w:p>
      <w:pPr>
        <w:pStyle w:val="Heading2"/>
      </w:pPr>
      <w:r>
        <w:t>十、投資風險因素</w:t>
      </w:r>
    </w:p>
    <w:p>
      <w:pPr>
        <w:pStyle w:val="Heading3"/>
      </w:pPr>
      <w:r>
        <w:t>10.1 業務風險</w:t>
      </w:r>
    </w:p>
    <w:p>
      <w:pPr>
        <w:pStyle w:val="ListNumber"/>
      </w:pPr>
      <w:r>
        <w:rPr>
          <w:rFonts w:ascii="Arial" w:hAnsi="Arial"/>
          <w:b/>
          <w:sz w:val="24"/>
        </w:rPr>
        <w:t>AI破壞搜尋商業模式</w:t>
      </w:r>
    </w:p>
    <w:p>
      <w:pPr/>
      <w:r>
        <w:rPr>
          <w:rFonts w:ascii="Arial" w:hAnsi="Arial"/>
          <w:sz w:val="24"/>
        </w:rPr>
        <w:t xml:space="preserve">   - ChatGPT、Perplexity等AI搜尋工具分流</w:t>
      </w:r>
    </w:p>
    <w:p>
      <w:pPr/>
      <w:r>
        <w:rPr>
          <w:rFonts w:ascii="Arial" w:hAnsi="Arial"/>
          <w:sz w:val="24"/>
        </w:rPr>
        <w:t xml:space="preserve">   - AI Overviews降低廣告曝光與點擊</w:t>
      </w:r>
    </w:p>
    <w:p>
      <w:pPr>
        <w:pStyle w:val="ListNumber"/>
      </w:pPr>
      <w:r>
        <w:rPr>
          <w:rFonts w:ascii="Arial" w:hAnsi="Arial"/>
          <w:b/>
          <w:sz w:val="24"/>
        </w:rPr>
        <w:t>雲端競爭加劇</w:t>
      </w:r>
    </w:p>
    <w:p>
      <w:pPr/>
      <w:r>
        <w:rPr>
          <w:rFonts w:ascii="Arial" w:hAnsi="Arial"/>
          <w:sz w:val="24"/>
        </w:rPr>
        <w:t xml:space="preserve">   - AWS、Azure市場主導地位穩固</w:t>
      </w:r>
    </w:p>
    <w:p>
      <w:pPr/>
      <w:r>
        <w:rPr>
          <w:rFonts w:ascii="Arial" w:hAnsi="Arial"/>
          <w:sz w:val="24"/>
        </w:rPr>
        <w:t xml:space="preserve">   - 價格戰侵蝕利潤率</w:t>
      </w:r>
    </w:p>
    <w:p>
      <w:pPr>
        <w:pStyle w:val="ListNumber"/>
      </w:pPr>
      <w:r>
        <w:rPr>
          <w:rFonts w:ascii="Arial" w:hAnsi="Arial"/>
          <w:b/>
          <w:sz w:val="24"/>
        </w:rPr>
        <w:t>YouTube競爭壓力</w:t>
      </w:r>
    </w:p>
    <w:p>
      <w:pPr/>
      <w:r>
        <w:rPr>
          <w:rFonts w:ascii="Arial" w:hAnsi="Arial"/>
          <w:sz w:val="24"/>
        </w:rPr>
        <w:t xml:space="preserve">   - TikTok持續搶佔用戶時間</w:t>
      </w:r>
    </w:p>
    <w:p>
      <w:pPr/>
      <w:r>
        <w:rPr>
          <w:rFonts w:ascii="Arial" w:hAnsi="Arial"/>
          <w:sz w:val="24"/>
        </w:rPr>
        <w:t xml:space="preserve">   - 創作者分潤壓力</w:t>
      </w:r>
    </w:p>
    <w:p>
      <w:pPr>
        <w:pStyle w:val="Heading3"/>
      </w:pPr>
      <w:r>
        <w:t>10.2 監管與法律風險</w:t>
      </w:r>
    </w:p>
    <w:p>
      <w:pPr>
        <w:pStyle w:val="ListNumber"/>
      </w:pPr>
      <w:r>
        <w:rPr>
          <w:rFonts w:ascii="Arial" w:hAnsi="Arial"/>
          <w:b/>
          <w:sz w:val="24"/>
        </w:rPr>
        <w:t>反壟斷訴訟</w:t>
      </w:r>
    </w:p>
    <w:p>
      <w:pPr/>
      <w:r>
        <w:rPr>
          <w:rFonts w:ascii="Arial" w:hAnsi="Arial"/>
          <w:sz w:val="24"/>
        </w:rPr>
        <w:t xml:space="preserve">   - DOJ搜尋壟斷案可能導致業務拆分或限制</w:t>
      </w:r>
    </w:p>
    <w:p>
      <w:pPr/>
      <w:r>
        <w:rPr>
          <w:rFonts w:ascii="Arial" w:hAnsi="Arial"/>
          <w:sz w:val="24"/>
        </w:rPr>
        <w:t xml:space="preserve">   - 歐盟、英國等多地監管壓力</w:t>
      </w:r>
    </w:p>
    <w:p>
      <w:pPr>
        <w:pStyle w:val="ListNumber"/>
      </w:pPr>
      <w:r>
        <w:rPr>
          <w:rFonts w:ascii="Arial" w:hAnsi="Arial"/>
          <w:b/>
          <w:sz w:val="24"/>
        </w:rPr>
        <w:t>隱私法規</w:t>
      </w:r>
    </w:p>
    <w:p>
      <w:pPr/>
      <w:r>
        <w:rPr>
          <w:rFonts w:ascii="Arial" w:hAnsi="Arial"/>
          <w:sz w:val="24"/>
        </w:rPr>
        <w:t xml:space="preserve">   - GDPR、CCPA等隱私法規限制數據使用</w:t>
      </w:r>
    </w:p>
    <w:p>
      <w:pPr/>
      <w:r>
        <w:rPr>
          <w:rFonts w:ascii="Arial" w:hAnsi="Arial"/>
          <w:sz w:val="24"/>
        </w:rPr>
        <w:t xml:space="preserve">   - 影響廣告定位精準度</w:t>
      </w:r>
    </w:p>
    <w:p>
      <w:pPr>
        <w:pStyle w:val="ListNumber"/>
      </w:pPr>
      <w:r>
        <w:rPr>
          <w:rFonts w:ascii="Arial" w:hAnsi="Arial"/>
          <w:b/>
          <w:sz w:val="24"/>
        </w:rPr>
        <w:t>內容審查責任</w:t>
      </w:r>
    </w:p>
    <w:p>
      <w:pPr/>
      <w:r>
        <w:rPr>
          <w:rFonts w:ascii="Arial" w:hAnsi="Arial"/>
          <w:sz w:val="24"/>
        </w:rPr>
        <w:t xml:space="preserve">   - YouTube內容審查成本增加</w:t>
      </w:r>
    </w:p>
    <w:p>
      <w:pPr/>
      <w:r>
        <w:rPr>
          <w:rFonts w:ascii="Arial" w:hAnsi="Arial"/>
          <w:sz w:val="24"/>
        </w:rPr>
        <w:t xml:space="preserve">   - 各國政府要求更嚴格內容管制</w:t>
      </w:r>
    </w:p>
    <w:p>
      <w:pPr>
        <w:pStyle w:val="Heading3"/>
      </w:pPr>
      <w:r>
        <w:t>10.3 財務風險</w:t>
      </w:r>
    </w:p>
    <w:p>
      <w:pPr>
        <w:pStyle w:val="ListNumber"/>
      </w:pPr>
      <w:r>
        <w:rPr>
          <w:rFonts w:ascii="Arial" w:hAnsi="Arial"/>
          <w:b/>
          <w:sz w:val="24"/>
        </w:rPr>
        <w:t>CapEx回報不確定性</w:t>
      </w:r>
    </w:p>
    <w:p>
      <w:pPr/>
      <w:r>
        <w:rPr>
          <w:rFonts w:ascii="Arial" w:hAnsi="Arial"/>
          <w:sz w:val="24"/>
        </w:rPr>
        <w:t xml:space="preserve">   - $900億+年度CapEx需要數年才能回收</w:t>
      </w:r>
    </w:p>
    <w:p>
      <w:pPr/>
      <w:r>
        <w:rPr>
          <w:rFonts w:ascii="Arial" w:hAnsi="Arial"/>
          <w:sz w:val="24"/>
        </w:rPr>
        <w:t xml:space="preserve">   - AI基礎設施快速貶值風險</w:t>
      </w:r>
    </w:p>
    <w:p>
      <w:pPr>
        <w:pStyle w:val="ListNumber"/>
      </w:pPr>
      <w:r>
        <w:rPr>
          <w:rFonts w:ascii="Arial" w:hAnsi="Arial"/>
          <w:b/>
          <w:sz w:val="24"/>
        </w:rPr>
        <w:t>匯率風險</w:t>
      </w:r>
    </w:p>
    <w:p>
      <w:pPr/>
      <w:r>
        <w:rPr>
          <w:rFonts w:ascii="Arial" w:hAnsi="Arial"/>
          <w:sz w:val="24"/>
        </w:rPr>
        <w:t xml:space="preserve">   - 約48%營收來自海外</w:t>
      </w:r>
    </w:p>
    <w:p>
      <w:pPr/>
      <w:r>
        <w:rPr>
          <w:rFonts w:ascii="Arial" w:hAnsi="Arial"/>
          <w:sz w:val="24"/>
        </w:rPr>
        <w:t xml:space="preserve">   - 美元走強侵蝕國際營收</w:t>
      </w:r>
    </w:p>
    <w:p>
      <w:r>
        <w:t>__________________________________________________</w:t>
      </w:r>
    </w:p>
    <w:p>
      <w:pPr>
        <w:pStyle w:val="Heading2"/>
      </w:pPr>
      <w:r>
        <w:t>十一、投資建議總結</w:t>
      </w:r>
    </w:p>
    <w:p>
      <w:pPr>
        <w:pStyle w:val="Heading3"/>
      </w:pPr>
      <w:r>
        <w:t>11.1 優勢 (Strengths)</w:t>
      </w:r>
    </w:p>
    <w:p>
      <w:pPr/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主導地位穩固</w:t>
      </w:r>
    </w:p>
    <w:p>
      <w:pPr>
        <w:pStyle w:val="ListBullet"/>
      </w:pPr>
      <w:r>
        <w:rPr>
          <w:rFonts w:ascii="Arial" w:hAnsi="Arial"/>
          <w:sz w:val="24"/>
        </w:rPr>
        <w:t>搜尋市佔率90%+,護城河深厚</w:t>
      </w:r>
    </w:p>
    <w:p>
      <w:pPr>
        <w:pStyle w:val="ListBullet"/>
      </w:pPr>
      <w:r>
        <w:rPr>
          <w:rFonts w:ascii="Arial" w:hAnsi="Arial"/>
          <w:sz w:val="24"/>
        </w:rPr>
        <w:t>YouTube為全球第二大社交平台</w:t>
      </w:r>
    </w:p>
    <w:p>
      <w:pPr/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財務狀況優異</w:t>
      </w:r>
    </w:p>
    <w:p>
      <w:pPr>
        <w:pStyle w:val="ListBullet"/>
      </w:pPr>
      <w:r>
        <w:rPr>
          <w:rFonts w:ascii="Arial" w:hAnsi="Arial"/>
          <w:sz w:val="24"/>
        </w:rPr>
        <w:t>2025年淨利$132B,自由現金流$73B</w:t>
      </w:r>
    </w:p>
    <w:p>
      <w:pPr>
        <w:pStyle w:val="ListBullet"/>
      </w:pPr>
      <w:r>
        <w:rPr>
          <w:rFonts w:ascii="Arial" w:hAnsi="Arial"/>
          <w:sz w:val="24"/>
        </w:rPr>
        <w:t>資產負債表極度健康,負債率僅17%</w:t>
      </w:r>
    </w:p>
    <w:p>
      <w:pPr/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AI技術領先</w:t>
      </w:r>
    </w:p>
    <w:p>
      <w:pPr>
        <w:pStyle w:val="ListBullet"/>
      </w:pPr>
      <w:r>
        <w:rPr>
          <w:rFonts w:ascii="Arial" w:hAnsi="Arial"/>
          <w:sz w:val="24"/>
        </w:rPr>
        <w:t>Gemini 2.0在多項測試中與GPT-4o競爭</w:t>
      </w:r>
    </w:p>
    <w:p>
      <w:pPr>
        <w:pStyle w:val="ListBullet"/>
      </w:pPr>
      <w:r>
        <w:rPr>
          <w:rFonts w:ascii="Arial" w:hAnsi="Arial"/>
          <w:sz w:val="24"/>
        </w:rPr>
        <w:t>TPU自研晶片降低對NVIDIA依賴</w:t>
      </w:r>
    </w:p>
    <w:p>
      <w:pPr/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多元化收入來源</w:t>
      </w:r>
    </w:p>
    <w:p>
      <w:pPr>
        <w:pStyle w:val="ListBullet"/>
      </w:pPr>
      <w:r>
        <w:rPr>
          <w:rFonts w:ascii="Arial" w:hAnsi="Arial"/>
          <w:sz w:val="24"/>
        </w:rPr>
        <w:t>廣告、雲端、訂閱、硬體多管齊下</w:t>
      </w:r>
    </w:p>
    <w:p>
      <w:pPr>
        <w:pStyle w:val="ListBullet"/>
      </w:pPr>
      <w:r>
        <w:rPr>
          <w:rFonts w:ascii="Arial" w:hAnsi="Arial"/>
          <w:sz w:val="24"/>
        </w:rPr>
        <w:t>降低單一業務風險</w:t>
      </w:r>
    </w:p>
    <w:p>
      <w:pPr>
        <w:pStyle w:val="Heading3"/>
      </w:pPr>
      <w:r>
        <w:t>11.2 劣勢 (Weaknesses)</w:t>
      </w:r>
    </w:p>
    <w:p>
      <w:pPr/>
      <w:r>
        <w:rPr>
          <w:rFonts w:ascii="Arial" w:hAnsi="Arial"/>
          <w:sz w:val="24"/>
        </w:rPr>
        <w:t xml:space="preserve">❌ </w:t>
      </w:r>
      <w:r>
        <w:rPr>
          <w:rFonts w:ascii="Arial" w:hAnsi="Arial"/>
          <w:b/>
          <w:sz w:val="24"/>
        </w:rPr>
        <w:t>成長動能減弱</w:t>
      </w:r>
    </w:p>
    <w:p>
      <w:pPr>
        <w:pStyle w:val="ListBullet"/>
      </w:pPr>
      <w:r>
        <w:rPr>
          <w:rFonts w:ascii="Arial" w:hAnsi="Arial"/>
          <w:sz w:val="24"/>
        </w:rPr>
        <w:t>廣告業務成長見頂</w:t>
      </w:r>
    </w:p>
    <w:p>
      <w:pPr>
        <w:pStyle w:val="ListBullet"/>
      </w:pPr>
      <w:r>
        <w:rPr>
          <w:rFonts w:ascii="Arial" w:hAnsi="Arial"/>
          <w:sz w:val="24"/>
        </w:rPr>
        <w:t>雲端市佔率落後AWS、Azure</w:t>
      </w:r>
    </w:p>
    <w:p>
      <w:pPr/>
      <w:r>
        <w:rPr>
          <w:rFonts w:ascii="Arial" w:hAnsi="Arial"/>
          <w:sz w:val="24"/>
        </w:rPr>
        <w:t xml:space="preserve">❌ </w:t>
      </w:r>
      <w:r>
        <w:rPr>
          <w:rFonts w:ascii="Arial" w:hAnsi="Arial"/>
          <w:b/>
          <w:sz w:val="24"/>
        </w:rPr>
        <w:t>CapEx激增壓縮利潤</w:t>
      </w:r>
    </w:p>
    <w:p>
      <w:pPr>
        <w:pStyle w:val="ListBullet"/>
      </w:pPr>
      <w:r>
        <w:rPr>
          <w:rFonts w:ascii="Arial" w:hAnsi="Arial"/>
          <w:sz w:val="24"/>
        </w:rPr>
        <w:t>2025年CapEx佔營收22.7%</w:t>
      </w:r>
    </w:p>
    <w:p>
      <w:pPr>
        <w:pStyle w:val="ListBullet"/>
      </w:pPr>
      <w:r>
        <w:rPr>
          <w:rFonts w:ascii="Arial" w:hAnsi="Arial"/>
          <w:sz w:val="24"/>
        </w:rPr>
        <w:t>自由現金流增長停滯</w:t>
      </w:r>
    </w:p>
    <w:p>
      <w:pPr/>
      <w:r>
        <w:rPr>
          <w:rFonts w:ascii="Arial" w:hAnsi="Arial"/>
          <w:sz w:val="24"/>
        </w:rPr>
        <w:t xml:space="preserve">❌ </w:t>
      </w:r>
      <w:r>
        <w:rPr>
          <w:rFonts w:ascii="Arial" w:hAnsi="Arial"/>
          <w:b/>
          <w:sz w:val="24"/>
        </w:rPr>
        <w:t>AI營收貢獻仍低</w:t>
      </w:r>
    </w:p>
    <w:p>
      <w:pPr>
        <w:pStyle w:val="ListBullet"/>
      </w:pPr>
      <w:r>
        <w:rPr>
          <w:rFonts w:ascii="Arial" w:hAnsi="Arial"/>
          <w:sz w:val="24"/>
        </w:rPr>
        <w:t>AI相關營收佔比&lt;5%</w:t>
      </w:r>
    </w:p>
    <w:p>
      <w:pPr>
        <w:pStyle w:val="ListBullet"/>
      </w:pPr>
      <w:r>
        <w:rPr>
          <w:rFonts w:ascii="Arial" w:hAnsi="Arial"/>
          <w:sz w:val="24"/>
        </w:rPr>
        <w:t>商業化進度慢於OpenAI/Microsoft</w:t>
      </w:r>
    </w:p>
    <w:p>
      <w:pPr>
        <w:pStyle w:val="Heading3"/>
      </w:pPr>
      <w:r>
        <w:t>11.3 機會 (Opportunities)</w:t>
      </w:r>
    </w:p>
    <w:p>
      <w:pPr/>
      <w:r>
        <w:rPr>
          <w:rFonts w:ascii="Arial" w:hAnsi="Arial"/>
          <w:sz w:val="24"/>
        </w:rPr>
        <w:t xml:space="preserve">🚀 </w:t>
      </w:r>
      <w:r>
        <w:rPr>
          <w:rFonts w:ascii="Arial" w:hAnsi="Arial"/>
          <w:b/>
          <w:sz w:val="24"/>
        </w:rPr>
        <w:t>AI產品全面商業化</w:t>
      </w:r>
    </w:p>
    <w:p>
      <w:pPr>
        <w:pStyle w:val="ListBullet"/>
      </w:pPr>
      <w:r>
        <w:rPr>
          <w:rFonts w:ascii="Arial" w:hAnsi="Arial"/>
          <w:sz w:val="24"/>
        </w:rPr>
        <w:t>Gemini API、Vertex AI市場空間廣闊</w:t>
      </w:r>
    </w:p>
    <w:p>
      <w:pPr>
        <w:pStyle w:val="ListBullet"/>
      </w:pPr>
      <w:r>
        <w:rPr>
          <w:rFonts w:ascii="Arial" w:hAnsi="Arial"/>
          <w:sz w:val="24"/>
        </w:rPr>
        <w:t>AI Overviews廣告潛力巨大</w:t>
      </w:r>
    </w:p>
    <w:p>
      <w:pPr/>
      <w:r>
        <w:rPr>
          <w:rFonts w:ascii="Arial" w:hAnsi="Arial"/>
          <w:sz w:val="24"/>
        </w:rPr>
        <w:t xml:space="preserve">🚀 </w:t>
      </w:r>
      <w:r>
        <w:rPr>
          <w:rFonts w:ascii="Arial" w:hAnsi="Arial"/>
          <w:b/>
          <w:sz w:val="24"/>
        </w:rPr>
        <w:t>Cloud獲利能力改善</w:t>
      </w:r>
    </w:p>
    <w:p>
      <w:pPr>
        <w:pStyle w:val="ListBullet"/>
      </w:pPr>
      <w:r>
        <w:rPr>
          <w:rFonts w:ascii="Arial" w:hAnsi="Arial"/>
          <w:sz w:val="24"/>
        </w:rPr>
        <w:t>規模效應顯現,利潤率提升</w:t>
      </w:r>
    </w:p>
    <w:p>
      <w:pPr>
        <w:pStyle w:val="ListBullet"/>
      </w:pPr>
      <w:r>
        <w:rPr>
          <w:rFonts w:ascii="Arial" w:hAnsi="Arial"/>
          <w:sz w:val="24"/>
        </w:rPr>
        <w:t>AI工作負載高毛利</w:t>
      </w:r>
    </w:p>
    <w:p>
      <w:pPr/>
      <w:r>
        <w:rPr>
          <w:rFonts w:ascii="Arial" w:hAnsi="Arial"/>
          <w:sz w:val="24"/>
        </w:rPr>
        <w:t xml:space="preserve">🚀 </w:t>
      </w:r>
      <w:r>
        <w:rPr>
          <w:rFonts w:ascii="Arial" w:hAnsi="Arial"/>
          <w:b/>
          <w:sz w:val="24"/>
        </w:rPr>
        <w:t>新興業務突破</w:t>
      </w:r>
    </w:p>
    <w:p>
      <w:pPr>
        <w:pStyle w:val="ListBullet"/>
      </w:pPr>
      <w:r>
        <w:rPr>
          <w:rFonts w:ascii="Arial" w:hAnsi="Arial"/>
          <w:sz w:val="24"/>
        </w:rPr>
        <w:t>Waymo自動駕駛商業化加速</w:t>
      </w:r>
    </w:p>
    <w:p>
      <w:pPr>
        <w:pStyle w:val="ListBullet"/>
      </w:pPr>
      <w:r>
        <w:rPr>
          <w:rFonts w:ascii="Arial" w:hAnsi="Arial"/>
          <w:sz w:val="24"/>
        </w:rPr>
        <w:t>Pixel手機市佔率提升</w:t>
      </w:r>
    </w:p>
    <w:p>
      <w:pPr>
        <w:pStyle w:val="Heading3"/>
      </w:pPr>
      <w:r>
        <w:t>11.4 威脅 (Threats)</w:t>
      </w:r>
    </w:p>
    <w:p>
      <w:pPr/>
      <w:r>
        <w:rPr>
          <w:rFonts w:ascii="Arial" w:hAnsi="Arial"/>
          <w:sz w:val="24"/>
        </w:rPr>
        <w:t xml:space="preserve">⚠️ </w:t>
      </w:r>
      <w:r>
        <w:rPr>
          <w:rFonts w:ascii="Arial" w:hAnsi="Arial"/>
          <w:b/>
          <w:sz w:val="24"/>
        </w:rPr>
        <w:t>監管重錘</w:t>
      </w:r>
    </w:p>
    <w:p>
      <w:pPr>
        <w:pStyle w:val="ListBullet"/>
      </w:pPr>
      <w:r>
        <w:rPr>
          <w:rFonts w:ascii="Arial" w:hAnsi="Arial"/>
          <w:sz w:val="24"/>
        </w:rPr>
        <w:t>反壟斷判決可能重創搜尋業務</w:t>
      </w:r>
    </w:p>
    <w:p>
      <w:pPr>
        <w:pStyle w:val="ListBullet"/>
      </w:pPr>
      <w:r>
        <w:rPr>
          <w:rFonts w:ascii="Arial" w:hAnsi="Arial"/>
          <w:sz w:val="24"/>
        </w:rPr>
        <w:t>全球監管環境趨嚴</w:t>
      </w:r>
    </w:p>
    <w:p>
      <w:pPr/>
      <w:r>
        <w:rPr>
          <w:rFonts w:ascii="Arial" w:hAnsi="Arial"/>
          <w:sz w:val="24"/>
        </w:rPr>
        <w:t xml:space="preserve">⚠️ </w:t>
      </w:r>
      <w:r>
        <w:rPr>
          <w:rFonts w:ascii="Arial" w:hAnsi="Arial"/>
          <w:b/>
          <w:sz w:val="24"/>
        </w:rPr>
        <w:t>AI競爭激烈</w:t>
      </w:r>
    </w:p>
    <w:p>
      <w:pPr>
        <w:pStyle w:val="ListBullet"/>
      </w:pPr>
      <w:r>
        <w:rPr>
          <w:rFonts w:ascii="Arial" w:hAnsi="Arial"/>
          <w:sz w:val="24"/>
        </w:rPr>
        <w:t>OpenAI、Anthropic技術追趕</w:t>
      </w:r>
    </w:p>
    <w:p>
      <w:pPr>
        <w:pStyle w:val="ListBullet"/>
      </w:pPr>
      <w:r>
        <w:rPr>
          <w:rFonts w:ascii="Arial" w:hAnsi="Arial"/>
          <w:sz w:val="24"/>
        </w:rPr>
        <w:t>Microsoft Azure整合OpenAI優勢明顯</w:t>
      </w:r>
    </w:p>
    <w:p>
      <w:pPr/>
      <w:r>
        <w:rPr>
          <w:rFonts w:ascii="Arial" w:hAnsi="Arial"/>
          <w:sz w:val="24"/>
        </w:rPr>
        <w:t xml:space="preserve">⚠️ </w:t>
      </w:r>
      <w:r>
        <w:rPr>
          <w:rFonts w:ascii="Arial" w:hAnsi="Arial"/>
          <w:b/>
          <w:sz w:val="24"/>
        </w:rPr>
        <w:t>經濟衰退風險</w:t>
      </w:r>
    </w:p>
    <w:p>
      <w:pPr>
        <w:pStyle w:val="ListBullet"/>
      </w:pPr>
      <w:r>
        <w:rPr>
          <w:rFonts w:ascii="Arial" w:hAnsi="Arial"/>
          <w:sz w:val="24"/>
        </w:rPr>
        <w:t>廣告業務高度依賴經濟景氣</w:t>
      </w:r>
    </w:p>
    <w:p>
      <w:pPr>
        <w:pStyle w:val="ListBullet"/>
      </w:pPr>
      <w:r>
        <w:rPr>
          <w:rFonts w:ascii="Arial" w:hAnsi="Arial"/>
          <w:sz w:val="24"/>
        </w:rPr>
        <w:t>企業IT支出削減影響雲端業務</w:t>
      </w:r>
    </w:p>
    <w:p>
      <w:pPr>
        <w:pStyle w:val="Heading3"/>
      </w:pPr>
      <w:r>
        <w:t>11.5 **最終評級與建議**</w:t>
      </w:r>
    </w:p>
    <w:p>
      <w:pPr/>
      <w:r>
        <w:rPr>
          <w:rFonts w:ascii="Arial" w:hAnsi="Arial"/>
          <w:b/>
          <w:sz w:val="24"/>
        </w:rPr>
        <w:t>評級:</w:t>
      </w:r>
      <w:r>
        <w:rPr>
          <w:rFonts w:ascii="Arial" w:hAnsi="Arial"/>
          <w:sz w:val="24"/>
        </w:rPr>
        <w:t xml:space="preserve"> ⭐⭐⭐⭐ (4/5星) - </w:t>
      </w:r>
      <w:r>
        <w:rPr>
          <w:rFonts w:ascii="Arial" w:hAnsi="Arial"/>
          <w:b/>
          <w:sz w:val="24"/>
        </w:rPr>
        <w:t>審慎買進 (Cautious Buy)</w:t>
      </w:r>
    </w:p>
    <w:p>
      <w:pPr/>
      <w:r>
        <w:rPr>
          <w:rFonts w:ascii="Arial" w:hAnsi="Arial"/>
          <w:b/>
          <w:sz w:val="24"/>
        </w:rPr>
        <w:t>目標價:</w:t>
      </w:r>
      <w:r>
        <w:rPr>
          <w:rFonts w:ascii="Arial" w:hAnsi="Arial"/>
          <w:sz w:val="24"/>
        </w:rPr>
        <w:t xml:space="preserve"> $360 - $385 (上漲空間 +19-27%)</w:t>
      </w:r>
    </w:p>
    <w:p>
      <w:pPr/>
      <w:r>
        <w:rPr>
          <w:rFonts w:ascii="Arial" w:hAnsi="Arial"/>
          <w:b/>
          <w:sz w:val="24"/>
        </w:rPr>
        <w:t>建議倉位:</w:t>
      </w:r>
      <w:r>
        <w:rPr>
          <w:rFonts w:ascii="Arial" w:hAnsi="Arial"/>
          <w:sz w:val="24"/>
        </w:rPr>
        <w:t xml:space="preserve"> 佔投資組合5-8%</w:t>
      </w:r>
    </w:p>
    <w:p>
      <w:pPr/>
      <w:r>
        <w:rPr>
          <w:rFonts w:ascii="Arial" w:hAnsi="Arial"/>
          <w:b/>
          <w:sz w:val="24"/>
        </w:rPr>
        <w:t>適合投資者:</w:t>
      </w:r>
    </w:p>
    <w:p>
      <w:pPr>
        <w:pStyle w:val="ListBullet"/>
      </w:pPr>
      <w:r>
        <w:rPr>
          <w:rFonts w:ascii="Arial" w:hAnsi="Arial"/>
          <w:sz w:val="24"/>
        </w:rPr>
        <w:t>長期價值投資者 (持有期3-5年)</w:t>
      </w:r>
    </w:p>
    <w:p>
      <w:pPr>
        <w:pStyle w:val="ListBullet"/>
      </w:pPr>
      <w:r>
        <w:rPr>
          <w:rFonts w:ascii="Arial" w:hAnsi="Arial"/>
          <w:sz w:val="24"/>
        </w:rPr>
        <w:t>願意承受短期波動換取AI長期潛力</w:t>
      </w:r>
    </w:p>
    <w:p>
      <w:pPr>
        <w:pStyle w:val="ListBullet"/>
      </w:pPr>
      <w:r>
        <w:rPr>
          <w:rFonts w:ascii="Arial" w:hAnsi="Arial"/>
          <w:sz w:val="24"/>
        </w:rPr>
        <w:t>相信Google能成功將AI技術商業化</w:t>
      </w:r>
    </w:p>
    <w:p>
      <w:pPr/>
      <w:r>
        <w:rPr>
          <w:rFonts w:ascii="Arial" w:hAnsi="Arial"/>
          <w:b/>
          <w:sz w:val="24"/>
        </w:rPr>
        <w:t>不適合投資者:</w:t>
      </w:r>
    </w:p>
    <w:p>
      <w:pPr>
        <w:pStyle w:val="ListBullet"/>
      </w:pPr>
      <w:r>
        <w:rPr>
          <w:rFonts w:ascii="Arial" w:hAnsi="Arial"/>
          <w:sz w:val="24"/>
        </w:rPr>
        <w:t>追求短期暴利的投機者</w:t>
      </w:r>
    </w:p>
    <w:p>
      <w:pPr>
        <w:pStyle w:val="ListBullet"/>
      </w:pPr>
      <w:r>
        <w:rPr>
          <w:rFonts w:ascii="Arial" w:hAnsi="Arial"/>
          <w:sz w:val="24"/>
        </w:rPr>
        <w:t>擔心監管風險的保守投資者</w:t>
      </w:r>
    </w:p>
    <w:p>
      <w:pPr>
        <w:pStyle w:val="ListBullet"/>
      </w:pPr>
      <w:r>
        <w:rPr>
          <w:rFonts w:ascii="Arial" w:hAnsi="Arial"/>
          <w:sz w:val="24"/>
        </w:rPr>
        <w:t>認為AI泡沫即將破裂的悲觀者</w:t>
      </w:r>
    </w:p>
    <w:p>
      <w:pPr>
        <w:pStyle w:val="Heading3"/>
      </w:pPr>
      <w:r>
        <w:t>11.6 **核心投資論點**</w:t>
      </w:r>
    </w:p>
    <w:p>
      <w:pPr/>
      <w:r>
        <w:rPr>
          <w:rFonts w:ascii="Arial" w:hAnsi="Arial"/>
          <w:sz w:val="24"/>
        </w:rPr>
        <w:t xml:space="preserve">#### </w:t>
      </w:r>
      <w:r>
        <w:rPr>
          <w:rFonts w:ascii="Arial" w:hAnsi="Arial"/>
          <w:b/>
          <w:sz w:val="24"/>
        </w:rPr>
        <w:t>做多理由:</w:t>
      </w:r>
    </w:p>
    <w:p>
      <w:pPr>
        <w:pStyle w:val="ListNumber"/>
      </w:pPr>
      <w:r>
        <w:rPr>
          <w:rFonts w:ascii="Arial" w:hAnsi="Arial"/>
          <w:b/>
          <w:sz w:val="24"/>
        </w:rPr>
        <w:t>AI基礎設施投資將在2026-2027年開花結果</w:t>
      </w:r>
    </w:p>
    <w:p>
      <w:pPr/>
      <w:r>
        <w:rPr>
          <w:rFonts w:ascii="Arial" w:hAnsi="Arial"/>
          <w:sz w:val="24"/>
        </w:rPr>
        <w:t xml:space="preserve">   - 當前$900億CapEx為未來3-5年成長奠定基礎</w:t>
      </w:r>
    </w:p>
    <w:p>
      <w:pPr/>
      <w:r>
        <w:rPr>
          <w:rFonts w:ascii="Arial" w:hAnsi="Arial"/>
          <w:sz w:val="24"/>
        </w:rPr>
        <w:t xml:space="preserve">   - 類似2015-2017年雲端投資週期</w:t>
      </w:r>
    </w:p>
    <w:p>
      <w:pPr>
        <w:pStyle w:val="ListNumber"/>
      </w:pPr>
      <w:r>
        <w:rPr>
          <w:rFonts w:ascii="Arial" w:hAnsi="Arial"/>
          <w:b/>
          <w:sz w:val="24"/>
        </w:rPr>
        <w:t>搜尋業務韌性強於市場預期</w:t>
      </w:r>
    </w:p>
    <w:p>
      <w:pPr/>
      <w:r>
        <w:rPr>
          <w:rFonts w:ascii="Arial" w:hAnsi="Arial"/>
          <w:sz w:val="24"/>
        </w:rPr>
        <w:t xml:space="preserve">   - AI Overviews營利化可抵銷流量下降</w:t>
      </w:r>
    </w:p>
    <w:p>
      <w:pPr/>
      <w:r>
        <w:rPr>
          <w:rFonts w:ascii="Arial" w:hAnsi="Arial"/>
          <w:sz w:val="24"/>
        </w:rPr>
        <w:t xml:space="preserve">   - 搜尋習慣改變緩慢,護城河難以撼動</w:t>
      </w:r>
    </w:p>
    <w:p>
      <w:pPr>
        <w:pStyle w:val="ListNumber"/>
      </w:pPr>
      <w:r>
        <w:rPr>
          <w:rFonts w:ascii="Arial" w:hAnsi="Arial"/>
          <w:b/>
          <w:sz w:val="24"/>
        </w:rPr>
        <w:t>Cloud業務進入獲利改善期</w:t>
      </w:r>
    </w:p>
    <w:p>
      <w:pPr/>
      <w:r>
        <w:rPr>
          <w:rFonts w:ascii="Arial" w:hAnsi="Arial"/>
          <w:sz w:val="24"/>
        </w:rPr>
        <w:t xml:space="preserve">   - 2026年營業利潤率可望達12-15%</w:t>
      </w:r>
    </w:p>
    <w:p>
      <w:pPr/>
      <w:r>
        <w:rPr>
          <w:rFonts w:ascii="Arial" w:hAnsi="Arial"/>
          <w:sz w:val="24"/>
        </w:rPr>
        <w:t xml:space="preserve">   - AI工作負載高毛利提升整體盈利</w:t>
      </w:r>
    </w:p>
    <w:p>
      <w:pPr>
        <w:pStyle w:val="ListNumber"/>
      </w:pPr>
      <w:r>
        <w:rPr>
          <w:rFonts w:ascii="Arial" w:hAnsi="Arial"/>
          <w:b/>
          <w:sz w:val="24"/>
        </w:rPr>
        <w:t>估值相對合理</w:t>
      </w:r>
    </w:p>
    <w:p>
      <w:pPr/>
      <w:r>
        <w:rPr>
          <w:rFonts w:ascii="Arial" w:hAnsi="Arial"/>
          <w:sz w:val="24"/>
        </w:rPr>
        <w:t xml:space="preserve">   - Forward P/E 23x低於歷史高點</w:t>
      </w:r>
    </w:p>
    <w:p>
      <w:pPr/>
      <w:r>
        <w:rPr>
          <w:rFonts w:ascii="Arial" w:hAnsi="Arial"/>
          <w:sz w:val="24"/>
        </w:rPr>
        <w:t xml:space="preserve">   - 若2026年EPS達$13,目標價$360+合理</w:t>
      </w:r>
    </w:p>
    <w:p>
      <w:pPr/>
      <w:r>
        <w:rPr>
          <w:rFonts w:ascii="Arial" w:hAnsi="Arial"/>
          <w:sz w:val="24"/>
        </w:rPr>
        <w:t xml:space="preserve">#### </w:t>
      </w:r>
      <w:r>
        <w:rPr>
          <w:rFonts w:ascii="Arial" w:hAnsi="Arial"/>
          <w:b/>
          <w:sz w:val="24"/>
        </w:rPr>
        <w:t>做空/觀望理由:</w:t>
      </w:r>
    </w:p>
    <w:p>
      <w:pPr>
        <w:pStyle w:val="ListNumber"/>
      </w:pPr>
      <w:r>
        <w:rPr>
          <w:rFonts w:ascii="Arial" w:hAnsi="Arial"/>
          <w:b/>
          <w:sz w:val="24"/>
        </w:rPr>
        <w:t>ROI不確定性高</w:t>
      </w:r>
    </w:p>
    <w:p>
      <w:pPr/>
      <w:r>
        <w:rPr>
          <w:rFonts w:ascii="Arial" w:hAnsi="Arial"/>
          <w:sz w:val="24"/>
        </w:rPr>
        <w:t xml:space="preserve">   - CapEx激增但營收成長未同步加速</w:t>
      </w:r>
    </w:p>
    <w:p>
      <w:pPr/>
      <w:r>
        <w:rPr>
          <w:rFonts w:ascii="Arial" w:hAnsi="Arial"/>
          <w:sz w:val="24"/>
        </w:rPr>
        <w:t xml:space="preserve">   - AI商業化進度慢於預期</w:t>
      </w:r>
    </w:p>
    <w:p>
      <w:pPr>
        <w:pStyle w:val="ListNumber"/>
      </w:pPr>
      <w:r>
        <w:rPr>
          <w:rFonts w:ascii="Arial" w:hAnsi="Arial"/>
          <w:b/>
          <w:sz w:val="24"/>
        </w:rPr>
        <w:t>監管黑天鵝風險</w:t>
      </w:r>
    </w:p>
    <w:p>
      <w:pPr/>
      <w:r>
        <w:rPr>
          <w:rFonts w:ascii="Arial" w:hAnsi="Arial"/>
          <w:sz w:val="24"/>
        </w:rPr>
        <w:t xml:space="preserve">   - DOJ判決可能重創搜尋業務</w:t>
      </w:r>
    </w:p>
    <w:p>
      <w:pPr/>
      <w:r>
        <w:rPr>
          <w:rFonts w:ascii="Arial" w:hAnsi="Arial"/>
          <w:sz w:val="24"/>
        </w:rPr>
        <w:t xml:space="preserve">   - 失去Apple預設搜尋地位影響巨大</w:t>
      </w:r>
    </w:p>
    <w:p>
      <w:pPr>
        <w:pStyle w:val="ListNumber"/>
      </w:pPr>
      <w:r>
        <w:rPr>
          <w:rFonts w:ascii="Arial" w:hAnsi="Arial"/>
          <w:b/>
          <w:sz w:val="24"/>
        </w:rPr>
        <w:t>競爭加劇侵蝕利潤</w:t>
      </w:r>
    </w:p>
    <w:p>
      <w:pPr/>
      <w:r>
        <w:rPr>
          <w:rFonts w:ascii="Arial" w:hAnsi="Arial"/>
          <w:sz w:val="24"/>
        </w:rPr>
        <w:t xml:space="preserve">   - AI領域OpenAI/Microsoft領先</w:t>
      </w:r>
    </w:p>
    <w:p>
      <w:pPr/>
      <w:r>
        <w:rPr>
          <w:rFonts w:ascii="Arial" w:hAnsi="Arial"/>
          <w:sz w:val="24"/>
        </w:rPr>
        <w:t xml:space="preserve">   - 雲端市場AWS/Azure主導地位穩固</w:t>
      </w:r>
    </w:p>
    <w:p>
      <w:r>
        <w:t>__________________________________________________</w:t>
      </w:r>
    </w:p>
    <w:p>
      <w:pPr>
        <w:pStyle w:val="Heading2"/>
      </w:pPr>
      <w:r>
        <w:t>十二、關鍵數據速查表</w:t>
      </w:r>
    </w:p>
    <w:p>
      <w:pPr>
        <w:pStyle w:val="Heading3"/>
      </w:pPr>
      <w:r>
        <w:t>財務摘要 (2025年)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Arial" w:hAnsi="Arial"/>
                <w:b/>
                <w:sz w:val="22"/>
              </w:rPr>
              <w:t>指標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sz w:val="22"/>
              </w:rPr>
              <w:t>數值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營收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$402.96B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淨利潤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$132.17B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稀釋EPS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$10.81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營業現金流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$164.71B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自由現金流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$73.27B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CapEx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$91.45B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現金及短投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$126.84B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總負債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$180.02B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股東權益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$415.27B</w:t>
            </w:r>
          </w:p>
        </w:tc>
      </w:tr>
    </w:tbl>
    <w:p>
      <w:pPr>
        <w:pStyle w:val="Heading3"/>
      </w:pPr>
      <w:r>
        <w:t>估值指標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Arial" w:hAnsi="Arial"/>
                <w:b/>
                <w:sz w:val="22"/>
              </w:rPr>
              <w:t>指標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b/>
                <w:sz w:val="22"/>
              </w:rPr>
              <w:t>數值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市值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$3.67T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P/E (TTM)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28.1x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Forward P/E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23.3x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P/S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9.2x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EV/EBITDA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19.95x</w:t>
            </w:r>
          </w:p>
        </w:tc>
      </w:tr>
      <w:tr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股息收益率</w:t>
            </w:r>
          </w:p>
        </w:tc>
        <w:tc>
          <w:tcPr>
            <w:tcW w:type="dxa" w:w="4514"/>
          </w:tcPr>
          <w:p>
            <w:r>
              <w:rPr>
                <w:rFonts w:ascii="Arial" w:hAnsi="Arial"/>
                <w:sz w:val="20"/>
              </w:rPr>
              <w:t>0.28%</w:t>
            </w:r>
          </w:p>
        </w:tc>
      </w:tr>
    </w:tbl>
    <w:p>
      <w:pPr>
        <w:pStyle w:val="Heading3"/>
      </w:pPr>
      <w:r>
        <w:t>成長指標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指標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2025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2026E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營收成長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+15.1%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+12-15%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EPS成長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+34.5%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+15-20%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Cloud成長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+21%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+25%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十三、資料來源</w:t>
      </w:r>
    </w:p>
    <w:p>
      <w:pPr>
        <w:pStyle w:val="ListNumber"/>
      </w:pPr>
      <w:r>
        <w:rPr>
          <w:rFonts w:ascii="Arial" w:hAnsi="Arial"/>
          <w:b/>
          <w:sz w:val="24"/>
        </w:rPr>
        <w:t>Financial Modeling Prep (FMP)</w:t>
      </w:r>
      <w:r>
        <w:rPr>
          <w:rFonts w:ascii="Arial" w:hAnsi="Arial"/>
          <w:sz w:val="24"/>
        </w:rPr>
        <w:t xml:space="preserve"> - 財務報表、比率、關鍵指標</w:t>
      </w:r>
    </w:p>
    <w:p>
      <w:pPr>
        <w:pStyle w:val="ListNumber"/>
      </w:pPr>
      <w:r>
        <w:rPr>
          <w:rFonts w:ascii="Arial" w:hAnsi="Arial"/>
          <w:b/>
          <w:sz w:val="24"/>
        </w:rPr>
        <w:t>Alphabet Inc. 官方財報</w:t>
      </w:r>
      <w:r>
        <w:rPr>
          <w:rFonts w:ascii="Arial" w:hAnsi="Arial"/>
          <w:sz w:val="24"/>
        </w:rPr>
        <w:t xml:space="preserve"> - 2025 Q4 及全年10-K</w:t>
      </w:r>
    </w:p>
    <w:p>
      <w:pPr>
        <w:pStyle w:val="ListNumber"/>
      </w:pPr>
      <w:r>
        <w:rPr>
          <w:rFonts w:ascii="Arial" w:hAnsi="Arial"/>
          <w:b/>
          <w:sz w:val="24"/>
        </w:rPr>
        <w:t>Yahoo Finance</w:t>
      </w:r>
      <w:r>
        <w:rPr>
          <w:rFonts w:ascii="Arial" w:hAnsi="Arial"/>
          <w:sz w:val="24"/>
        </w:rPr>
        <w:t xml:space="preserve"> - 市場數據、分析師評級</w:t>
      </w:r>
    </w:p>
    <w:p>
      <w:pPr>
        <w:pStyle w:val="ListNumber"/>
      </w:pPr>
      <w:r>
        <w:rPr>
          <w:rFonts w:ascii="Arial" w:hAnsi="Arial"/>
          <w:b/>
          <w:sz w:val="24"/>
        </w:rPr>
        <w:t>CNBC</w:t>
      </w:r>
      <w:r>
        <w:rPr>
          <w:rFonts w:ascii="Arial" w:hAnsi="Arial"/>
          <w:sz w:val="24"/>
        </w:rPr>
        <w:t xml:space="preserve"> - 即時股價與關鍵統計</w:t>
      </w:r>
    </w:p>
    <w:p>
      <w:pPr>
        <w:pStyle w:val="ListNumber"/>
      </w:pPr>
      <w:r>
        <w:rPr>
          <w:rFonts w:ascii="Arial" w:hAnsi="Arial"/>
          <w:b/>
          <w:sz w:val="24"/>
        </w:rPr>
        <w:t>Seeking Alpha</w:t>
      </w:r>
      <w:r>
        <w:rPr>
          <w:rFonts w:ascii="Arial" w:hAnsi="Arial"/>
          <w:sz w:val="24"/>
        </w:rPr>
        <w:t xml:space="preserve"> - 公司描述與業務概覽</w:t>
      </w:r>
    </w:p>
    <w:p>
      <w:r>
        <w:t>__________________________________________________</w:t>
      </w:r>
    </w:p>
    <w:p>
      <w:pPr/>
      <w:r>
        <w:rPr>
          <w:rFonts w:ascii="Arial" w:hAnsi="Arial"/>
          <w:b/>
          <w:sz w:val="24"/>
        </w:rPr>
        <w:t>免責聲明:</w:t>
      </w:r>
      <w:r>
        <w:rPr>
          <w:rFonts w:ascii="Arial" w:hAnsi="Arial"/>
          <w:sz w:val="24"/>
        </w:rPr>
        <w:t xml:space="preserve"> 本報告僅供研究參考,不構成投資建議。投資有風險,請根據自身風險承受能力謹慎決策。報告中的預測與目標價基於公開資料與合理假設,實際結果可能存在重大差異。</w:t>
      </w:r>
    </w:p>
    <w:p>
      <w:pPr/>
      <w:r>
        <w:rPr>
          <w:rFonts w:ascii="Arial" w:hAnsi="Arial"/>
          <w:b/>
          <w:sz w:val="24"/>
        </w:rPr>
        <w:t>報告編制:</w:t>
      </w:r>
      <w:r>
        <w:rPr>
          <w:rFonts w:ascii="Arial" w:hAnsi="Arial"/>
          <w:sz w:val="24"/>
        </w:rPr>
        <w:t xml:space="preserve"> OpenClaw AI Research</w:t>
      </w:r>
    </w:p>
    <w:p>
      <w:pPr/>
      <w:r>
        <w:rPr>
          <w:rFonts w:ascii="Arial" w:hAnsi="Arial"/>
          <w:b/>
          <w:sz w:val="24"/>
        </w:rPr>
        <w:t>最後更新:</w:t>
      </w:r>
      <w:r>
        <w:rPr>
          <w:rFonts w:ascii="Arial" w:hAnsi="Arial"/>
          <w:sz w:val="24"/>
        </w:rPr>
        <w:t xml:space="preserve"> 2026年2月19日</w:t>
      </w:r>
    </w:p>
    <w:p>
      <w:r>
        <w:t>__________________________________________________</w:t>
      </w:r>
    </w:p>
    <w:p>
      <w:pPr>
        <w:pStyle w:val="Heading2"/>
      </w:pPr>
      <w:r>
        <w:t>十四、競爭對手比較（2026）</w:t>
      </w:r>
    </w:p>
    <w:p>
      <w:pPr>
        <w:pStyle w:val="Heading3"/>
      </w:pPr>
      <w:r>
        <w:t>GOOGL vs Microsoft（AI/Cloud）</w:t>
      </w:r>
    </w:p>
    <w:p>
      <w:pPr>
        <w:pStyle w:val="ListBullet"/>
      </w:pPr>
      <w:r>
        <w:rPr>
          <w:rFonts w:ascii="Arial" w:hAnsi="Arial"/>
          <w:b/>
          <w:sz w:val="24"/>
        </w:rPr>
        <w:t>Microsoft 2026做法：</w:t>
      </w:r>
      <w:r>
        <w:rPr>
          <w:rFonts w:ascii="Arial" w:hAnsi="Arial"/>
          <w:sz w:val="24"/>
        </w:rPr>
        <w:t xml:space="preserve"> 把 Copilot 深度綁進 Office 365、Azure AI，企業採購路徑最短。</w:t>
      </w:r>
    </w:p>
    <w:p>
      <w:pPr>
        <w:pStyle w:val="ListBullet"/>
      </w:pPr>
      <w:r>
        <w:rPr>
          <w:rFonts w:ascii="Arial" w:hAnsi="Arial"/>
          <w:b/>
          <w:sz w:val="24"/>
        </w:rPr>
        <w:t>Google 2026做法：</w:t>
      </w:r>
      <w:r>
        <w:rPr>
          <w:rFonts w:ascii="Arial" w:hAnsi="Arial"/>
          <w:sz w:val="24"/>
        </w:rPr>
        <w:t xml:space="preserve"> 用 Gemini + Google Cloud 價格/效能策略搶市場，並用 Workspace 導流。</w:t>
      </w:r>
    </w:p>
    <w:p>
      <w:pPr>
        <w:pStyle w:val="ListBullet"/>
      </w:pPr>
      <w:r>
        <w:rPr>
          <w:rFonts w:ascii="Arial" w:hAnsi="Arial"/>
          <w:b/>
          <w:sz w:val="24"/>
        </w:rPr>
        <w:t>誰有優勢：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Microsoft 略佔上風</w:t>
      </w:r>
      <w:r>
        <w:rPr>
          <w:rFonts w:ascii="Arial" w:hAnsi="Arial"/>
          <w:sz w:val="24"/>
        </w:rPr>
        <w:t>，因企業既有IT生態（Office/Windows/Azure）黏性更強。</w:t>
      </w:r>
    </w:p>
    <w:p>
      <w:pPr>
        <w:pStyle w:val="Heading3"/>
      </w:pPr>
      <w:r>
        <w:t>GOOGL vs Meta（廣告）</w:t>
      </w:r>
    </w:p>
    <w:p>
      <w:pPr>
        <w:pStyle w:val="ListBullet"/>
      </w:pPr>
      <w:r>
        <w:rPr>
          <w:rFonts w:ascii="Arial" w:hAnsi="Arial"/>
          <w:b/>
          <w:sz w:val="24"/>
        </w:rPr>
        <w:t>Meta 2026做法：</w:t>
      </w:r>
      <w:r>
        <w:rPr>
          <w:rFonts w:ascii="Arial" w:hAnsi="Arial"/>
          <w:sz w:val="24"/>
        </w:rPr>
        <w:t xml:space="preserve"> Reels + AI推薦強化社群廣告變現。</w:t>
      </w:r>
    </w:p>
    <w:p>
      <w:pPr>
        <w:pStyle w:val="ListBullet"/>
      </w:pPr>
      <w:r>
        <w:rPr>
          <w:rFonts w:ascii="Arial" w:hAnsi="Arial"/>
          <w:b/>
          <w:sz w:val="24"/>
        </w:rPr>
        <w:t>Google 2026做法：</w:t>
      </w:r>
      <w:r>
        <w:rPr>
          <w:rFonts w:ascii="Arial" w:hAnsi="Arial"/>
          <w:sz w:val="24"/>
        </w:rPr>
        <w:t xml:space="preserve"> Search 廣告守城 + YouTube Shorts 廣告化。</w:t>
      </w:r>
    </w:p>
    <w:p>
      <w:pPr>
        <w:pStyle w:val="ListBullet"/>
      </w:pPr>
      <w:r>
        <w:rPr>
          <w:rFonts w:ascii="Arial" w:hAnsi="Arial"/>
          <w:b/>
          <w:sz w:val="24"/>
        </w:rPr>
        <w:t>誰有優勢：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Google 在「搜尋意圖型廣告」仍有優勢</w:t>
      </w:r>
      <w:r>
        <w:rPr>
          <w:rFonts w:ascii="Arial" w:hAnsi="Arial"/>
          <w:sz w:val="24"/>
        </w:rPr>
        <w:t>，Meta 在社群注意力端更強。</w:t>
      </w:r>
    </w:p>
    <w:p>
      <w:pPr>
        <w:pStyle w:val="Heading3"/>
      </w:pPr>
      <w:r>
        <w:t>綜合判斷</w:t>
      </w:r>
    </w:p>
    <w:p>
      <w:pPr>
        <w:pStyle w:val="ListBullet"/>
      </w:pPr>
      <w:r>
        <w:rPr>
          <w:rFonts w:ascii="Arial" w:hAnsi="Arial"/>
          <w:b/>
          <w:sz w:val="24"/>
        </w:rPr>
        <w:t>AI/Cloud：</w:t>
      </w:r>
      <w:r>
        <w:rPr>
          <w:rFonts w:ascii="Arial" w:hAnsi="Arial"/>
          <w:sz w:val="24"/>
        </w:rPr>
        <w:t xml:space="preserve"> 微軟短期領先</w:t>
      </w:r>
    </w:p>
    <w:p>
      <w:pPr>
        <w:pStyle w:val="ListBullet"/>
      </w:pPr>
      <w:r>
        <w:rPr>
          <w:rFonts w:ascii="Arial" w:hAnsi="Arial"/>
          <w:b/>
          <w:sz w:val="24"/>
        </w:rPr>
        <w:t>廣告現金流：</w:t>
      </w:r>
      <w:r>
        <w:rPr>
          <w:rFonts w:ascii="Arial" w:hAnsi="Arial"/>
          <w:sz w:val="24"/>
        </w:rPr>
        <w:t xml:space="preserve"> Google 護城河仍深</w:t>
      </w:r>
    </w:p>
    <w:p>
      <w:pPr>
        <w:pStyle w:val="ListBullet"/>
      </w:pPr>
      <w:r>
        <w:rPr>
          <w:rFonts w:ascii="Arial" w:hAnsi="Arial"/>
          <w:b/>
          <w:sz w:val="24"/>
        </w:rPr>
        <w:t>關鍵變數：</w:t>
      </w:r>
      <w:r>
        <w:rPr>
          <w:rFonts w:ascii="Arial" w:hAnsi="Arial"/>
          <w:sz w:val="24"/>
        </w:rPr>
        <w:t xml:space="preserve"> 2026 年 Gemini 商業化效率 + Cloud 利潤率改善速度</w:t>
      </w:r>
    </w:p>
    <w:p>
      <w:pPr>
        <w:pStyle w:val="Heading3"/>
      </w:pPr>
      <w:r>
        <w:t>GOOGL 競爭對手比較（2026）</w:t>
      </w:r>
    </w:p>
    <w:p>
      <w:pPr>
        <w:pStyle w:val="ListBullet"/>
      </w:pPr>
      <w:r>
        <w:rPr>
          <w:rFonts w:ascii="Arial" w:hAnsi="Arial"/>
          <w:sz w:val="24"/>
        </w:rPr>
        <w:t>vs Microsoft（AI/Cloud）：Microsoft 靠 Office + Azure 綁企業，Google 靠 Gemini + Cloud 價格戰追趕；2026企業端仍 Microsoft 略優。</w:t>
      </w:r>
    </w:p>
    <w:p>
      <w:pPr>
        <w:pStyle w:val="ListBullet"/>
      </w:pPr>
      <w:r>
        <w:rPr>
          <w:rFonts w:ascii="Arial" w:hAnsi="Arial"/>
          <w:sz w:val="24"/>
        </w:rPr>
        <w:t>vs Meta（廣告）：Meta 在社群短影音強，Google 在搜尋意圖廣告 ROI 強；2026 兩者並強，Google 防守盤更穩。</w:t>
      </w:r>
    </w:p>
    <w:p>
      <w:pPr>
        <w:pStyle w:val="ListBullet"/>
      </w:pPr>
      <w:r>
        <w:rPr>
          <w:rFonts w:ascii="Arial" w:hAnsi="Arial"/>
          <w:sz w:val="24"/>
        </w:rPr>
        <w:t>vs OpenAI：OpenAI API 生態快，Google 分發渠道廣（Search/Android/Chrome）；2026 勝負取決於 Gemini 商業化速度。</w:t>
      </w:r>
    </w:p>
    <w:p>
      <w:r>
        <w:br w:type="page"/>
      </w:r>
    </w:p>
    <w:p>
      <w:pPr>
        <w:pStyle w:val="Heading2"/>
      </w:pPr>
      <w:r>
        <w:t>第二部：PLTR</w:t>
      </w:r>
    </w:p>
    <w:p>
      <w:pPr>
        <w:pStyle w:val="Heading1"/>
      </w:pPr>
      <w:r>
        <w:t>Palantir Technologies Inc. (PLTR) 深度投資研究報告</w:t>
      </w:r>
    </w:p>
    <w:p>
      <w:pPr/>
      <w:r>
        <w:rPr>
          <w:rFonts w:ascii="Arial" w:hAnsi="Arial"/>
          <w:b/>
          <w:sz w:val="24"/>
        </w:rPr>
        <w:t>報告日期：</w:t>
      </w:r>
      <w:r>
        <w:rPr>
          <w:rFonts w:ascii="Arial" w:hAnsi="Arial"/>
          <w:sz w:val="24"/>
        </w:rPr>
        <w:t xml:space="preserve"> 2026年2月19日</w:t>
      </w:r>
    </w:p>
    <w:p>
      <w:pPr/>
      <w:r>
        <w:rPr>
          <w:rFonts w:ascii="Arial" w:hAnsi="Arial"/>
          <w:b/>
          <w:sz w:val="24"/>
        </w:rPr>
        <w:t>股價（2026/02/18收盤）：</w:t>
      </w:r>
      <w:r>
        <w:rPr>
          <w:rFonts w:ascii="Arial" w:hAnsi="Arial"/>
          <w:sz w:val="24"/>
        </w:rPr>
        <w:t xml:space="preserve"> $135.38 (+1.77%)</w:t>
      </w:r>
    </w:p>
    <w:p>
      <w:pPr/>
      <w:r>
        <w:rPr>
          <w:rFonts w:ascii="Arial" w:hAnsi="Arial"/>
          <w:b/>
          <w:sz w:val="24"/>
        </w:rPr>
        <w:t>市值：</w:t>
      </w:r>
      <w:r>
        <w:rPr>
          <w:rFonts w:ascii="Arial" w:hAnsi="Arial"/>
          <w:sz w:val="24"/>
        </w:rPr>
        <w:t xml:space="preserve"> $3,093 億美元</w:t>
      </w:r>
    </w:p>
    <w:p>
      <w:pPr/>
      <w:r>
        <w:rPr>
          <w:rFonts w:ascii="Arial" w:hAnsi="Arial"/>
          <w:b/>
          <w:sz w:val="24"/>
        </w:rPr>
        <w:t>產業：</w:t>
      </w:r>
      <w:r>
        <w:rPr>
          <w:rFonts w:ascii="Arial" w:hAnsi="Arial"/>
          <w:sz w:val="24"/>
        </w:rPr>
        <w:t xml:space="preserve"> 軟體基礎設施 (Software - Infrastructure)</w:t>
      </w:r>
    </w:p>
    <w:p>
      <w:r>
        <w:t>__________________________________________________</w:t>
      </w:r>
    </w:p>
    <w:p>
      <w:pPr>
        <w:pStyle w:val="Heading2"/>
      </w:pPr>
      <w:r>
        <w:t>一、公司概況與2026年營運策略</w:t>
      </w:r>
    </w:p>
    <w:p>
      <w:pPr>
        <w:pStyle w:val="Heading3"/>
      </w:pPr>
      <w:r>
        <w:t>1.1 公司簡介</w:t>
      </w:r>
    </w:p>
    <w:p>
      <w:pPr/>
      <w:r>
        <w:rPr>
          <w:rFonts w:ascii="Arial" w:hAnsi="Arial"/>
          <w:b/>
          <w:sz w:val="24"/>
        </w:rPr>
        <w:t>Palantir Technologies Inc.</w:t>
      </w:r>
      <w:r>
        <w:rPr>
          <w:rFonts w:ascii="Arial" w:hAnsi="Arial"/>
          <w:sz w:val="24"/>
        </w:rPr>
        <w:t xml:space="preserve"> 成立於2003年，總部位於美國科羅拉多州丹佛市（Denver），由Alexander C. Karp擔任執行長（CEO），Peter Thiel等共同創辦。公司於2020年9月30日透過直接上市（Direct Listing）於納斯達克掛牌交易（股票代碼：PLTR）。</w:t>
      </w:r>
    </w:p>
    <w:p>
      <w:pPr/>
      <w:r>
        <w:rPr>
          <w:rFonts w:ascii="Arial" w:hAnsi="Arial"/>
          <w:b/>
          <w:sz w:val="24"/>
        </w:rPr>
        <w:t>核心業務：</w:t>
      </w:r>
    </w:p>
    <w:p>
      <w:pPr>
        <w:pStyle w:val="ListBullet"/>
      </w:pPr>
      <w:r>
        <w:rPr>
          <w:rFonts w:ascii="Arial" w:hAnsi="Arial"/>
          <w:b/>
          <w:sz w:val="24"/>
        </w:rPr>
        <w:t>Palantir Gotham</w:t>
      </w:r>
      <w:r>
        <w:rPr>
          <w:rFonts w:ascii="Arial" w:hAnsi="Arial"/>
          <w:sz w:val="24"/>
        </w:rPr>
        <w:t>：專為情報與國防部門設計的資料整合與作戰決策平台</w:t>
      </w:r>
    </w:p>
    <w:p>
      <w:pPr>
        <w:pStyle w:val="ListBullet"/>
      </w:pPr>
      <w:r>
        <w:rPr>
          <w:rFonts w:ascii="Arial" w:hAnsi="Arial"/>
          <w:b/>
          <w:sz w:val="24"/>
        </w:rPr>
        <w:t>Palantir Foundry</w:t>
      </w:r>
      <w:r>
        <w:rPr>
          <w:rFonts w:ascii="Arial" w:hAnsi="Arial"/>
          <w:sz w:val="24"/>
        </w:rPr>
        <w:t>：企業級資料作業系統，將組織資料整合為統一分析平台</w:t>
      </w:r>
    </w:p>
    <w:p>
      <w:pPr>
        <w:pStyle w:val="ListBullet"/>
      </w:pPr>
      <w:r>
        <w:rPr>
          <w:rFonts w:ascii="Arial" w:hAnsi="Arial"/>
          <w:b/>
          <w:sz w:val="24"/>
        </w:rPr>
        <w:t>Palantir Apollo</w:t>
      </w:r>
      <w:r>
        <w:rPr>
          <w:rFonts w:ascii="Arial" w:hAnsi="Arial"/>
          <w:sz w:val="24"/>
        </w:rPr>
        <w:t>：軟體交付與更新管理系統，可在任何環境中部署</w:t>
      </w:r>
    </w:p>
    <w:p>
      <w:pPr>
        <w:pStyle w:val="ListBullet"/>
      </w:pPr>
      <w:r>
        <w:rPr>
          <w:rFonts w:ascii="Arial" w:hAnsi="Arial"/>
          <w:b/>
          <w:sz w:val="24"/>
        </w:rPr>
        <w:t>Palantir AIP (Artificial Intelligence Platform)</w:t>
      </w:r>
      <w:r>
        <w:rPr>
          <w:rFonts w:ascii="Arial" w:hAnsi="Arial"/>
          <w:sz w:val="24"/>
        </w:rPr>
        <w:t>：AI平台，統一存取大型語言模型（LLM），將結構化與非結構化資料轉換為AI可理解物件</w:t>
      </w:r>
    </w:p>
    <w:p>
      <w:pPr/>
      <w:r>
        <w:rPr>
          <w:rFonts w:ascii="Arial" w:hAnsi="Arial"/>
          <w:b/>
          <w:sz w:val="24"/>
        </w:rPr>
        <w:t>員工數：</w:t>
      </w:r>
      <w:r>
        <w:rPr>
          <w:rFonts w:ascii="Arial" w:hAnsi="Arial"/>
          <w:sz w:val="24"/>
        </w:rPr>
        <w:t xml:space="preserve"> 4,001人（截至2025年底）</w:t>
      </w:r>
    </w:p>
    <w:p>
      <w:pPr>
        <w:pStyle w:val="Heading3"/>
      </w:pPr>
      <w:r>
        <w:t>1.2 2026年官方營運計畫</w:t>
      </w:r>
    </w:p>
    <w:p>
      <w:pPr/>
      <w:r>
        <w:rPr>
          <w:rFonts w:ascii="Arial" w:hAnsi="Arial"/>
          <w:sz w:val="24"/>
        </w:rPr>
        <w:t>根據2025年財報與管理層指引，Palantir的2026年策略重點包括：</w:t>
      </w:r>
    </w:p>
    <w:p>
      <w:pPr>
        <w:pStyle w:val="ListNumber"/>
      </w:pPr>
      <w:r>
        <w:rPr>
          <w:rFonts w:ascii="Arial" w:hAnsi="Arial"/>
          <w:b/>
          <w:sz w:val="24"/>
        </w:rPr>
        <w:t>AIP全面擴張</w:t>
      </w:r>
      <w:r>
        <w:rPr>
          <w:rFonts w:ascii="Arial" w:hAnsi="Arial"/>
          <w:sz w:val="24"/>
        </w:rPr>
        <w:t>：持續推動AI平台（AIP）在商業與政府客戶中的滲透率</w:t>
      </w:r>
    </w:p>
    <w:p>
      <w:pPr>
        <w:pStyle w:val="ListNumber"/>
      </w:pPr>
      <w:r>
        <w:rPr>
          <w:rFonts w:ascii="Arial" w:hAnsi="Arial"/>
          <w:b/>
          <w:sz w:val="24"/>
        </w:rPr>
        <w:t>商業客戶增長</w:t>
      </w:r>
      <w:r>
        <w:rPr>
          <w:rFonts w:ascii="Arial" w:hAnsi="Arial"/>
          <w:sz w:val="24"/>
        </w:rPr>
        <w:t>：加速美國商業市場客戶獲取，重點在製造、醫療、能源等垂直領域</w:t>
      </w:r>
    </w:p>
    <w:p>
      <w:pPr>
        <w:pStyle w:val="ListNumber"/>
      </w:pPr>
      <w:r>
        <w:rPr>
          <w:rFonts w:ascii="Arial" w:hAnsi="Arial"/>
          <w:b/>
          <w:sz w:val="24"/>
        </w:rPr>
        <w:t>國防合約鞏固</w:t>
      </w:r>
      <w:r>
        <w:rPr>
          <w:rFonts w:ascii="Arial" w:hAnsi="Arial"/>
          <w:sz w:val="24"/>
        </w:rPr>
        <w:t>：深化與美國國防部（DoD）、北約（NATO）及盟國的長期戰略合作</w:t>
      </w:r>
    </w:p>
    <w:p>
      <w:pPr>
        <w:pStyle w:val="ListNumber"/>
      </w:pPr>
      <w:r>
        <w:rPr>
          <w:rFonts w:ascii="Arial" w:hAnsi="Arial"/>
          <w:b/>
          <w:sz w:val="24"/>
        </w:rPr>
        <w:t>國際市場拓展</w:t>
      </w:r>
      <w:r>
        <w:rPr>
          <w:rFonts w:ascii="Arial" w:hAnsi="Arial"/>
          <w:sz w:val="24"/>
        </w:rPr>
        <w:t>：在英國、歐洲與亞太區域增加政府與商業客戶</w:t>
      </w:r>
    </w:p>
    <w:p>
      <w:pPr>
        <w:pStyle w:val="ListNumber"/>
      </w:pPr>
      <w:r>
        <w:rPr>
          <w:rFonts w:ascii="Arial" w:hAnsi="Arial"/>
          <w:b/>
          <w:sz w:val="24"/>
        </w:rPr>
        <w:t>營運槓桿提升</w:t>
      </w:r>
      <w:r>
        <w:rPr>
          <w:rFonts w:ascii="Arial" w:hAnsi="Arial"/>
          <w:sz w:val="24"/>
        </w:rPr>
        <w:t>：持續改善營運利潤率，目標維持40%+的GAAP營運利潤率</w:t>
      </w:r>
    </w:p>
    <w:p>
      <w:r>
        <w:t>__________________________________________________</w:t>
      </w:r>
    </w:p>
    <w:p>
      <w:pPr>
        <w:pStyle w:val="Heading2"/>
      </w:pPr>
      <w:r>
        <w:t>二、財務表現分析</w:t>
      </w:r>
    </w:p>
    <w:p>
      <w:pPr>
        <w:pStyle w:val="Heading3"/>
      </w:pPr>
      <w:r>
        <w:t>2.1 營收概況（2021-2025）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年度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營收（百萬美元）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YoY成長率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毛利率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營業利潤率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淨利率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2021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1,542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78.0%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-26.7%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-33.7%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2022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1,906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+23.6%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78.6%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-8.5%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-19.6%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2023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2,225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+16.7%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80.6%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5.4%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9.4%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2024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2,866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+28.8%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80.2%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10.8%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16.1%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**2025**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**4,475**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**+56.2%**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**82.4%**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**31.6%**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**36.3%**</w:t>
            </w:r>
          </w:p>
        </w:tc>
      </w:tr>
    </w:tbl>
    <w:p>
      <w:pPr/>
      <w:r>
        <w:rPr>
          <w:rFonts w:ascii="Arial" w:hAnsi="Arial"/>
          <w:b/>
          <w:sz w:val="24"/>
        </w:rPr>
        <w:t>關鍵觀察：</w:t>
      </w:r>
    </w:p>
    <w:p>
      <w:pPr>
        <w:pStyle w:val="ListBullet"/>
      </w:pPr>
      <w:r>
        <w:rPr>
          <w:rFonts w:ascii="Arial" w:hAnsi="Arial"/>
          <w:sz w:val="24"/>
        </w:rPr>
        <w:t xml:space="preserve">2025年營收達到 </w:t>
      </w:r>
      <w:r>
        <w:rPr>
          <w:rFonts w:ascii="Arial" w:hAnsi="Arial"/>
          <w:b/>
          <w:sz w:val="24"/>
        </w:rPr>
        <w:t>$44.75億美元</w:t>
      </w:r>
      <w:r>
        <w:rPr>
          <w:rFonts w:ascii="Arial" w:hAnsi="Arial"/>
          <w:sz w:val="24"/>
        </w:rPr>
        <w:t xml:space="preserve">，YoY成長高達 </w:t>
      </w:r>
      <w:r>
        <w:rPr>
          <w:rFonts w:ascii="Arial" w:hAnsi="Arial"/>
          <w:b/>
          <w:sz w:val="24"/>
        </w:rPr>
        <w:t>56.2%</w:t>
      </w:r>
      <w:r>
        <w:rPr>
          <w:rFonts w:ascii="Arial" w:hAnsi="Arial"/>
          <w:sz w:val="24"/>
        </w:rPr>
        <w:t>，創下公司歷史新高</w:t>
      </w:r>
    </w:p>
    <w:p>
      <w:pPr>
        <w:pStyle w:val="ListBullet"/>
      </w:pPr>
      <w:r>
        <w:rPr>
          <w:rFonts w:ascii="Arial" w:hAnsi="Arial"/>
          <w:sz w:val="24"/>
        </w:rPr>
        <w:t xml:space="preserve">毛利率從2024年的80.2%提升至 </w:t>
      </w:r>
      <w:r>
        <w:rPr>
          <w:rFonts w:ascii="Arial" w:hAnsi="Arial"/>
          <w:b/>
          <w:sz w:val="24"/>
        </w:rPr>
        <w:t>82.4%</w:t>
      </w:r>
      <w:r>
        <w:rPr>
          <w:rFonts w:ascii="Arial" w:hAnsi="Arial"/>
          <w:sz w:val="24"/>
        </w:rPr>
        <w:t>，顯示規模經濟效益與高價值產品組合優化</w:t>
      </w:r>
    </w:p>
    <w:p>
      <w:pPr>
        <w:pStyle w:val="ListBullet"/>
      </w:pPr>
      <w:r>
        <w:rPr>
          <w:rFonts w:ascii="Arial" w:hAnsi="Arial"/>
          <w:sz w:val="24"/>
        </w:rPr>
        <w:t xml:space="preserve">營業利潤率從10.8%暴增至 </w:t>
      </w:r>
      <w:r>
        <w:rPr>
          <w:rFonts w:ascii="Arial" w:hAnsi="Arial"/>
          <w:b/>
          <w:sz w:val="24"/>
        </w:rPr>
        <w:t>31.6%</w:t>
      </w:r>
      <w:r>
        <w:rPr>
          <w:rFonts w:ascii="Arial" w:hAnsi="Arial"/>
          <w:sz w:val="24"/>
        </w:rPr>
        <w:t>（+20.8個百分點），顯示營運槓桿顯著發揮</w:t>
      </w:r>
    </w:p>
    <w:p>
      <w:pPr>
        <w:pStyle w:val="ListBullet"/>
      </w:pPr>
      <w:r>
        <w:rPr>
          <w:rFonts w:ascii="Arial" w:hAnsi="Arial"/>
          <w:sz w:val="24"/>
        </w:rPr>
        <w:t xml:space="preserve">淨利率從16.1%倍增至 </w:t>
      </w:r>
      <w:r>
        <w:rPr>
          <w:rFonts w:ascii="Arial" w:hAnsi="Arial"/>
          <w:b/>
          <w:sz w:val="24"/>
        </w:rPr>
        <w:t>36.3%</w:t>
      </w:r>
      <w:r>
        <w:rPr>
          <w:rFonts w:ascii="Arial" w:hAnsi="Arial"/>
          <w:sz w:val="24"/>
        </w:rPr>
        <w:t>，公司首次實現大規模獲利能力</w:t>
      </w:r>
    </w:p>
    <w:p>
      <w:pPr>
        <w:pStyle w:val="Heading3"/>
      </w:pPr>
      <w:r>
        <w:t>2.2 季度營收趨勢（2025 Q1-Q4）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季度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營收（百萬美元）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QoQ成長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YoY成長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營業利潤率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淨利率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Q1 2025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884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+41.0%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19.9%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24.2%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Q2 2025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1,004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+13.6%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+47.6%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26.8%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32.6%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Q3 2025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1,181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+17.6%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+54.1%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33.3%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40.3%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**Q4 2025**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**1,407**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**+19.1%**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**+70.0%**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**40.9%**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**43.3%**</w:t>
            </w:r>
          </w:p>
        </w:tc>
      </w:tr>
    </w:tbl>
    <w:p>
      <w:pPr/>
      <w:r>
        <w:rPr>
          <w:rFonts w:ascii="Arial" w:hAnsi="Arial"/>
          <w:b/>
          <w:sz w:val="24"/>
        </w:rPr>
        <w:t>關鍵趨勢：</w:t>
      </w:r>
    </w:p>
    <w:p>
      <w:pPr>
        <w:pStyle w:val="ListBullet"/>
      </w:pPr>
      <w:r>
        <w:rPr>
          <w:rFonts w:ascii="Arial" w:hAnsi="Arial"/>
          <w:sz w:val="24"/>
        </w:rPr>
        <w:t xml:space="preserve">Q4 2025營收達 </w:t>
      </w:r>
      <w:r>
        <w:rPr>
          <w:rFonts w:ascii="Arial" w:hAnsi="Arial"/>
          <w:b/>
          <w:sz w:val="24"/>
        </w:rPr>
        <w:t>$14.07億美元</w:t>
      </w:r>
      <w:r>
        <w:rPr>
          <w:rFonts w:ascii="Arial" w:hAnsi="Arial"/>
          <w:sz w:val="24"/>
        </w:rPr>
        <w:t xml:space="preserve">，YoY成長 </w:t>
      </w:r>
      <w:r>
        <w:rPr>
          <w:rFonts w:ascii="Arial" w:hAnsi="Arial"/>
          <w:b/>
          <w:sz w:val="24"/>
        </w:rPr>
        <w:t>70%</w:t>
      </w:r>
      <w:r>
        <w:rPr>
          <w:rFonts w:ascii="Arial" w:hAnsi="Arial"/>
          <w:sz w:val="24"/>
        </w:rPr>
        <w:t>，連續四季加速成長</w:t>
      </w:r>
    </w:p>
    <w:p>
      <w:pPr>
        <w:pStyle w:val="ListBullet"/>
      </w:pPr>
      <w:r>
        <w:rPr>
          <w:rFonts w:ascii="Arial" w:hAnsi="Arial"/>
          <w:sz w:val="24"/>
        </w:rPr>
        <w:t xml:space="preserve">營業利潤率在Q4達到 </w:t>
      </w:r>
      <w:r>
        <w:rPr>
          <w:rFonts w:ascii="Arial" w:hAnsi="Arial"/>
          <w:b/>
          <w:sz w:val="24"/>
        </w:rPr>
        <w:t>40.9%</w:t>
      </w:r>
      <w:r>
        <w:rPr>
          <w:rFonts w:ascii="Arial" w:hAnsi="Arial"/>
          <w:sz w:val="24"/>
        </w:rPr>
        <w:t>，首次突破40%大關</w:t>
      </w:r>
    </w:p>
    <w:p>
      <w:pPr>
        <w:pStyle w:val="ListBullet"/>
      </w:pPr>
      <w:r>
        <w:rPr>
          <w:rFonts w:ascii="Arial" w:hAnsi="Arial"/>
          <w:sz w:val="24"/>
        </w:rPr>
        <w:t xml:space="preserve">季度淨利達 </w:t>
      </w:r>
      <w:r>
        <w:rPr>
          <w:rFonts w:ascii="Arial" w:hAnsi="Arial"/>
          <w:b/>
          <w:sz w:val="24"/>
        </w:rPr>
        <w:t>$6.09億美元</w:t>
      </w:r>
      <w:r>
        <w:rPr>
          <w:rFonts w:ascii="Arial" w:hAnsi="Arial"/>
          <w:sz w:val="24"/>
        </w:rPr>
        <w:t xml:space="preserve">（Q4 2025），相比Q4 2024的$0.79億美元增長 </w:t>
      </w:r>
      <w:r>
        <w:rPr>
          <w:rFonts w:ascii="Arial" w:hAnsi="Arial"/>
          <w:b/>
          <w:sz w:val="24"/>
        </w:rPr>
        <w:t>670%</w:t>
      </w:r>
    </w:p>
    <w:p>
      <w:pPr>
        <w:pStyle w:val="Heading3"/>
      </w:pPr>
      <w:r>
        <w:t>2.3 營收結構拆解</w:t>
      </w:r>
    </w:p>
    <w:p>
      <w:pPr/>
      <w:r>
        <w:rPr>
          <w:rFonts w:ascii="Arial" w:hAnsi="Arial"/>
          <w:sz w:val="24"/>
        </w:rPr>
        <w:t>#### 2.3.1 政府 vs. 商業營收（2024-2025）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項目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2024（百萬美元）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2025（百萬美元）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YoY成長率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佔比（2025）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**商業部門**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1,296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2,073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**+60.0%**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**46.3%**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**政府部門**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1,570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2,402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**+53.0%**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**53.7%**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**總計**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2,866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4,475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**+56.2%**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100%</w:t>
            </w:r>
          </w:p>
        </w:tc>
      </w:tr>
    </w:tbl>
    <w:p>
      <w:pPr/>
      <w:r>
        <w:rPr>
          <w:rFonts w:ascii="Arial" w:hAnsi="Arial"/>
          <w:b/>
          <w:sz w:val="24"/>
        </w:rPr>
        <w:t>分析：</w:t>
      </w:r>
    </w:p>
    <w:p>
      <w:pPr>
        <w:pStyle w:val="ListBullet"/>
      </w:pPr>
      <w:r>
        <w:rPr>
          <w:rFonts w:ascii="Arial" w:hAnsi="Arial"/>
          <w:sz w:val="24"/>
        </w:rPr>
        <w:t xml:space="preserve">商業部門成長 </w:t>
      </w:r>
      <w:r>
        <w:rPr>
          <w:rFonts w:ascii="Arial" w:hAnsi="Arial"/>
          <w:b/>
          <w:sz w:val="24"/>
        </w:rPr>
        <w:t>60%</w:t>
      </w:r>
      <w:r>
        <w:rPr>
          <w:rFonts w:ascii="Arial" w:hAnsi="Arial"/>
          <w:sz w:val="24"/>
        </w:rPr>
        <w:t>，超過政府部門的53%成長，顯示AIP在企業市場的強勁需求</w:t>
      </w:r>
    </w:p>
    <w:p>
      <w:pPr>
        <w:pStyle w:val="ListBullet"/>
      </w:pPr>
      <w:r>
        <w:rPr>
          <w:rFonts w:ascii="Arial" w:hAnsi="Arial"/>
          <w:sz w:val="24"/>
        </w:rPr>
        <w:t xml:space="preserve">政府部門仍占營收 </w:t>
      </w:r>
      <w:r>
        <w:rPr>
          <w:rFonts w:ascii="Arial" w:hAnsi="Arial"/>
          <w:b/>
          <w:sz w:val="24"/>
        </w:rPr>
        <w:t>53.7%</w:t>
      </w:r>
      <w:r>
        <w:rPr>
          <w:rFonts w:ascii="Arial" w:hAnsi="Arial"/>
          <w:sz w:val="24"/>
        </w:rPr>
        <w:t>，顯示國防與情報合約的穩定性</w:t>
      </w:r>
    </w:p>
    <w:p>
      <w:pPr>
        <w:pStyle w:val="ListBullet"/>
      </w:pPr>
      <w:r>
        <w:rPr>
          <w:rFonts w:ascii="Arial" w:hAnsi="Arial"/>
          <w:sz w:val="24"/>
        </w:rPr>
        <w:t>商業部門佔比從2024年的45.2%提升至46.3%，長期將持續平衡雙引擎成長</w:t>
      </w:r>
    </w:p>
    <w:p>
      <w:pPr/>
      <w:r>
        <w:rPr>
          <w:rFonts w:ascii="Arial" w:hAnsi="Arial"/>
          <w:sz w:val="24"/>
        </w:rPr>
        <w:t>#### 2.3.2 地理區域營收（2024-2025）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地區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2024（百萬美元）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2025（百萬美元）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YoY成長率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佔比（2025）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**美國**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1,900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3,320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**+74.7%**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**74.2%**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**英國**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305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427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**+40.3%**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**9.5%**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**其他地區**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661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728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**+10.1%**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**16.3%**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**總計**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2,866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4,475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**+56.2%**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100%</w:t>
            </w:r>
          </w:p>
        </w:tc>
      </w:tr>
    </w:tbl>
    <w:p>
      <w:pPr/>
      <w:r>
        <w:rPr>
          <w:rFonts w:ascii="Arial" w:hAnsi="Arial"/>
          <w:b/>
          <w:sz w:val="24"/>
        </w:rPr>
        <w:t>關鍵洞察：</w:t>
      </w:r>
    </w:p>
    <w:p>
      <w:pPr>
        <w:pStyle w:val="ListBullet"/>
      </w:pPr>
      <w:r>
        <w:rPr>
          <w:rFonts w:ascii="Arial" w:hAnsi="Arial"/>
          <w:sz w:val="24"/>
        </w:rPr>
        <w:t xml:space="preserve">美國市場成長 </w:t>
      </w:r>
      <w:r>
        <w:rPr>
          <w:rFonts w:ascii="Arial" w:hAnsi="Arial"/>
          <w:b/>
          <w:sz w:val="24"/>
        </w:rPr>
        <w:t>74.7%</w:t>
      </w:r>
      <w:r>
        <w:rPr>
          <w:rFonts w:ascii="Arial" w:hAnsi="Arial"/>
          <w:sz w:val="24"/>
        </w:rPr>
        <w:t>，是全球增長的主要驅動力，佔比從66.3%提升至74.2%</w:t>
      </w:r>
    </w:p>
    <w:p>
      <w:pPr>
        <w:pStyle w:val="ListBullet"/>
      </w:pPr>
      <w:r>
        <w:rPr>
          <w:rFonts w:ascii="Arial" w:hAnsi="Arial"/>
          <w:sz w:val="24"/>
        </w:rPr>
        <w:t>英國市場成長40.3%，顯示歐洲政府與企業對Palantir平台的持續需求</w:t>
      </w:r>
    </w:p>
    <w:p>
      <w:pPr>
        <w:pStyle w:val="ListBullet"/>
      </w:pPr>
      <w:r>
        <w:rPr>
          <w:rFonts w:ascii="Arial" w:hAnsi="Arial"/>
          <w:sz w:val="24"/>
        </w:rPr>
        <w:t>其他地區（主要為歐洲其他國家與亞太）成長較慢（+10.1%），可能受地緣政治與競爭影響</w:t>
      </w:r>
    </w:p>
    <w:p>
      <w:r>
        <w:t>__________________________________________________</w:t>
      </w:r>
    </w:p>
    <w:p>
      <w:pPr>
        <w:pStyle w:val="Heading2"/>
      </w:pPr>
      <w:r>
        <w:t>三、資本支出與現金流分析</w:t>
      </w:r>
    </w:p>
    <w:p>
      <w:pPr>
        <w:pStyle w:val="Heading3"/>
      </w:pPr>
      <w:r>
        <w:t>3.1 資本支出（CapEx）趨勢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年度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CapEx（百萬美元）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CapEx/營收比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CapEx/折舊攤銷比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2021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0.8%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84.8%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2022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40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2.1%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177.7%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2023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0.7%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45.3%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2024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0.4%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40.0%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**2025**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**34**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**0.8%**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**129.6%**</w:t>
            </w:r>
          </w:p>
        </w:tc>
      </w:tr>
    </w:tbl>
    <w:p>
      <w:pPr/>
      <w:r>
        <w:rPr>
          <w:rFonts w:ascii="Arial" w:hAnsi="Arial"/>
          <w:b/>
          <w:sz w:val="24"/>
        </w:rPr>
        <w:t>分析：</w:t>
      </w:r>
    </w:p>
    <w:p>
      <w:pPr>
        <w:pStyle w:val="ListBullet"/>
      </w:pPr>
      <w:r>
        <w:rPr>
          <w:rFonts w:ascii="Arial" w:hAnsi="Arial"/>
          <w:sz w:val="24"/>
        </w:rPr>
        <w:t xml:space="preserve">2025年CapEx為 </w:t>
      </w:r>
      <w:r>
        <w:rPr>
          <w:rFonts w:ascii="Arial" w:hAnsi="Arial"/>
          <w:b/>
          <w:sz w:val="24"/>
        </w:rPr>
        <w:t>$3,388萬美元</w:t>
      </w:r>
      <w:r>
        <w:rPr>
          <w:rFonts w:ascii="Arial" w:hAnsi="Arial"/>
          <w:sz w:val="24"/>
        </w:rPr>
        <w:t>，相比2024年增加161%，但仍占營收不到1%</w:t>
      </w:r>
    </w:p>
    <w:p>
      <w:pPr>
        <w:pStyle w:val="ListBullet"/>
      </w:pPr>
      <w:r>
        <w:rPr>
          <w:rFonts w:ascii="Arial" w:hAnsi="Arial"/>
          <w:sz w:val="24"/>
        </w:rPr>
        <w:t xml:space="preserve">Palantir為 </w:t>
      </w:r>
      <w:r>
        <w:rPr>
          <w:rFonts w:ascii="Arial" w:hAnsi="Arial"/>
          <w:b/>
          <w:sz w:val="24"/>
        </w:rPr>
        <w:t>輕資產模式</w:t>
      </w:r>
      <w:r>
        <w:rPr>
          <w:rFonts w:ascii="Arial" w:hAnsi="Arial"/>
          <w:sz w:val="24"/>
        </w:rPr>
        <w:t>，資本支出主要用於IT基礎設施與辦公設施</w:t>
      </w:r>
    </w:p>
    <w:p>
      <w:pPr>
        <w:pStyle w:val="ListBullet"/>
      </w:pPr>
      <w:r>
        <w:rPr>
          <w:rFonts w:ascii="Arial" w:hAnsi="Arial"/>
          <w:sz w:val="24"/>
        </w:rPr>
        <w:t>CapEx/折舊比為129.6%，顯示公司在擴張階段，但未大規模固定資產投資</w:t>
      </w:r>
    </w:p>
    <w:p>
      <w:pPr>
        <w:pStyle w:val="Heading3"/>
      </w:pPr>
      <w:r>
        <w:t>3.2 自由現金流（FCF）表現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年度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營業現金流（OCF）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CapEx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自由現金流（FCF）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FCF利潤率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FCF轉換率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2021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334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-13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321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20.8%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96.2%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2022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224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-40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184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9.6%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82.1%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2023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712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-15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697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31.3%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97.9%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2024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1,154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-13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1,141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39.8%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98.9%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**2025**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**2,134**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**-34**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**2,101**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**46.9%**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**98.4%**</w:t>
            </w:r>
          </w:p>
        </w:tc>
      </w:tr>
    </w:tbl>
    <w:p>
      <w:pPr/>
      <w:r>
        <w:rPr>
          <w:rFonts w:ascii="Arial" w:hAnsi="Arial"/>
          <w:b/>
          <w:sz w:val="24"/>
        </w:rPr>
        <w:t>關鍵亮點：</w:t>
      </w:r>
    </w:p>
    <w:p>
      <w:pPr>
        <w:pStyle w:val="ListBullet"/>
      </w:pPr>
      <w:r>
        <w:rPr>
          <w:rFonts w:ascii="Arial" w:hAnsi="Arial"/>
          <w:sz w:val="24"/>
        </w:rPr>
        <w:t xml:space="preserve">2025年自由現金流達到 </w:t>
      </w:r>
      <w:r>
        <w:rPr>
          <w:rFonts w:ascii="Arial" w:hAnsi="Arial"/>
          <w:b/>
          <w:sz w:val="24"/>
        </w:rPr>
        <w:t>$21億美元</w:t>
      </w:r>
      <w:r>
        <w:rPr>
          <w:rFonts w:ascii="Arial" w:hAnsi="Arial"/>
          <w:sz w:val="24"/>
        </w:rPr>
        <w:t xml:space="preserve">，YoY成長 </w:t>
      </w:r>
      <w:r>
        <w:rPr>
          <w:rFonts w:ascii="Arial" w:hAnsi="Arial"/>
          <w:b/>
          <w:sz w:val="24"/>
        </w:rPr>
        <w:t>84%</w:t>
      </w:r>
    </w:p>
    <w:p>
      <w:pPr>
        <w:pStyle w:val="ListBullet"/>
      </w:pPr>
      <w:r>
        <w:rPr>
          <w:rFonts w:ascii="Arial" w:hAnsi="Arial"/>
          <w:sz w:val="24"/>
        </w:rPr>
        <w:t xml:space="preserve">FCF利潤率高達 </w:t>
      </w:r>
      <w:r>
        <w:rPr>
          <w:rFonts w:ascii="Arial" w:hAnsi="Arial"/>
          <w:b/>
          <w:sz w:val="24"/>
        </w:rPr>
        <w:t>46.9%</w:t>
      </w:r>
      <w:r>
        <w:rPr>
          <w:rFonts w:ascii="Arial" w:hAnsi="Arial"/>
          <w:sz w:val="24"/>
        </w:rPr>
        <w:t>（FCF/營收），顯示極強的現金創造能力</w:t>
      </w:r>
    </w:p>
    <w:p>
      <w:pPr>
        <w:pStyle w:val="ListBullet"/>
      </w:pPr>
      <w:r>
        <w:rPr>
          <w:rFonts w:ascii="Arial" w:hAnsi="Arial"/>
          <w:sz w:val="24"/>
        </w:rPr>
        <w:t xml:space="preserve">FCF轉換率（FCF/淨利）為 </w:t>
      </w:r>
      <w:r>
        <w:rPr>
          <w:rFonts w:ascii="Arial" w:hAnsi="Arial"/>
          <w:b/>
          <w:sz w:val="24"/>
        </w:rPr>
        <w:t>98.4%</w:t>
      </w:r>
      <w:r>
        <w:rPr>
          <w:rFonts w:ascii="Arial" w:hAnsi="Arial"/>
          <w:sz w:val="24"/>
        </w:rPr>
        <w:t>，顯示盈利幾乎完全轉化為現金</w:t>
      </w:r>
    </w:p>
    <w:p>
      <w:pPr>
        <w:pStyle w:val="ListBullet"/>
      </w:pPr>
      <w:r>
        <w:rPr>
          <w:rFonts w:ascii="Arial" w:hAnsi="Arial"/>
          <w:sz w:val="24"/>
        </w:rPr>
        <w:t>營業現金流連續5年正成長，從2021年的$3.34億增長至2025年的$21.3億</w:t>
      </w:r>
    </w:p>
    <w:p>
      <w:pPr>
        <w:pStyle w:val="Heading3"/>
      </w:pPr>
      <w:r>
        <w:t>3.3 資產負債表健康度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項目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2024年底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2025年底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變動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現金及約當現金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$2,099M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$1,424M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-32.2%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短期投資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$3,131M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$5,753M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+83.8%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**總現金資產**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**$5,230M**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**$7,177M**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**+37.2%**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總負債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$1,246M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$1,412M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+13.3%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總股東權益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$5,003M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$7,387M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+47.6%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**淨現金**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**$1,859M**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**$1,194M**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-35.8%</w:t>
            </w:r>
          </w:p>
        </w:tc>
      </w:tr>
    </w:tbl>
    <w:p>
      <w:pPr/>
      <w:r>
        <w:rPr>
          <w:rFonts w:ascii="Arial" w:hAnsi="Arial"/>
          <w:b/>
          <w:sz w:val="24"/>
        </w:rPr>
        <w:t>財務健康度：</w:t>
      </w:r>
    </w:p>
    <w:p>
      <w:pPr>
        <w:pStyle w:val="ListBullet"/>
      </w:pPr>
      <w:r>
        <w:rPr>
          <w:rFonts w:ascii="Arial" w:hAnsi="Arial"/>
          <w:sz w:val="24"/>
        </w:rPr>
        <w:t xml:space="preserve">總現金資產 </w:t>
      </w:r>
      <w:r>
        <w:rPr>
          <w:rFonts w:ascii="Arial" w:hAnsi="Arial"/>
          <w:b/>
          <w:sz w:val="24"/>
        </w:rPr>
        <w:t>$71.8億美元</w:t>
      </w:r>
      <w:r>
        <w:rPr>
          <w:rFonts w:ascii="Arial" w:hAnsi="Arial"/>
          <w:sz w:val="24"/>
        </w:rPr>
        <w:t>，相比2024年增加37%</w:t>
      </w:r>
    </w:p>
    <w:p>
      <w:pPr>
        <w:pStyle w:val="ListBullet"/>
      </w:pPr>
      <w:r>
        <w:rPr>
          <w:rFonts w:ascii="Arial" w:hAnsi="Arial"/>
          <w:sz w:val="24"/>
        </w:rPr>
        <w:t>負債主要為營運租賃（Capital Lease）與遞延收入，無銀行貸款</w:t>
      </w:r>
    </w:p>
    <w:p>
      <w:pPr>
        <w:pStyle w:val="ListBullet"/>
      </w:pPr>
      <w:r>
        <w:rPr>
          <w:rFonts w:ascii="Arial" w:hAnsi="Arial"/>
          <w:b/>
          <w:sz w:val="24"/>
        </w:rPr>
        <w:t>淨負債率（Net Debt/EBITDA）：-0.83</w:t>
      </w:r>
      <w:r>
        <w:rPr>
          <w:rFonts w:ascii="Arial" w:hAnsi="Arial"/>
          <w:sz w:val="24"/>
        </w:rPr>
        <w:t>（負數代表淨現金部位）</w:t>
      </w:r>
    </w:p>
    <w:p>
      <w:pPr>
        <w:pStyle w:val="ListBullet"/>
      </w:pPr>
      <w:r>
        <w:rPr>
          <w:rFonts w:ascii="Arial" w:hAnsi="Arial"/>
          <w:b/>
          <w:sz w:val="24"/>
        </w:rPr>
        <w:t>流動比率：7.11</w:t>
      </w:r>
      <w:r>
        <w:rPr>
          <w:rFonts w:ascii="Arial" w:hAnsi="Arial"/>
          <w:sz w:val="24"/>
        </w:rPr>
        <w:t>（遠高於2的安全水位），短期償債能力極強</w:t>
      </w:r>
    </w:p>
    <w:p>
      <w:r>
        <w:t>__________________________________________________</w:t>
      </w:r>
    </w:p>
    <w:p>
      <w:pPr>
        <w:pStyle w:val="Heading2"/>
      </w:pPr>
      <w:r>
        <w:t>四、2026年重大動向、新聞與合約</w:t>
      </w:r>
    </w:p>
    <w:p>
      <w:pPr>
        <w:pStyle w:val="Heading3"/>
      </w:pPr>
      <w:r>
        <w:t>4.1 2026年Q1-Q2已公布事項</w:t>
      </w:r>
    </w:p>
    <w:p>
      <w:pPr/>
      <w:r>
        <w:rPr>
          <w:rFonts w:ascii="Arial" w:hAnsi="Arial"/>
          <w:sz w:val="24"/>
        </w:rPr>
        <w:t>#### 政府合約與國防訂單</w:t>
      </w:r>
    </w:p>
    <w:p>
      <w:pPr>
        <w:pStyle w:val="ListNumber"/>
      </w:pPr>
      <w:r>
        <w:rPr>
          <w:rFonts w:ascii="Arial" w:hAnsi="Arial"/>
          <w:b/>
          <w:sz w:val="24"/>
        </w:rPr>
        <w:t>美國國防部 Maven Smart System 合約延伸</w:t>
      </w:r>
      <w:r>
        <w:rPr>
          <w:rFonts w:ascii="Arial" w:hAnsi="Arial"/>
          <w:sz w:val="24"/>
        </w:rPr>
        <w:t>（2026年1月）</w:t>
      </w:r>
    </w:p>
    <w:p>
      <w:pPr/>
      <w:r>
        <w:rPr>
          <w:rFonts w:ascii="Arial" w:hAnsi="Arial"/>
          <w:sz w:val="24"/>
        </w:rPr>
        <w:t xml:space="preserve">   - 五年期合約，總價值估計超過 </w:t>
      </w:r>
      <w:r>
        <w:rPr>
          <w:rFonts w:ascii="Arial" w:hAnsi="Arial"/>
          <w:b/>
          <w:sz w:val="24"/>
        </w:rPr>
        <w:t>$4.8億美元</w:t>
      </w:r>
    </w:p>
    <w:p>
      <w:pPr/>
      <w:r>
        <w:rPr>
          <w:rFonts w:ascii="Arial" w:hAnsi="Arial"/>
          <w:sz w:val="24"/>
        </w:rPr>
        <w:t xml:space="preserve">   - 為美軍提供AI驅動的目標識別與作戰決策支援</w:t>
      </w:r>
    </w:p>
    <w:p>
      <w:pPr>
        <w:pStyle w:val="ListNumber"/>
      </w:pPr>
      <w:r>
        <w:rPr>
          <w:rFonts w:ascii="Arial" w:hAnsi="Arial"/>
          <w:b/>
          <w:sz w:val="24"/>
        </w:rPr>
        <w:t>北約 DIANA 創新基金合作</w:t>
      </w:r>
      <w:r>
        <w:rPr>
          <w:rFonts w:ascii="Arial" w:hAnsi="Arial"/>
          <w:sz w:val="24"/>
        </w:rPr>
        <w:t>（2026年2月）</w:t>
      </w:r>
    </w:p>
    <w:p>
      <w:pPr/>
      <w:r>
        <w:rPr>
          <w:rFonts w:ascii="Arial" w:hAnsi="Arial"/>
          <w:sz w:val="24"/>
        </w:rPr>
        <w:t xml:space="preserve">   - 與北約防務創新加速器（DIANA）簽署戰略合作協議</w:t>
      </w:r>
    </w:p>
    <w:p>
      <w:pPr/>
      <w:r>
        <w:rPr>
          <w:rFonts w:ascii="Arial" w:hAnsi="Arial"/>
          <w:sz w:val="24"/>
        </w:rPr>
        <w:t xml:space="preserve">   - 支援歐洲盟國情報共享與聯合作戰能力</w:t>
      </w:r>
    </w:p>
    <w:p>
      <w:pPr>
        <w:pStyle w:val="ListNumber"/>
      </w:pPr>
      <w:r>
        <w:rPr>
          <w:rFonts w:ascii="Arial" w:hAnsi="Arial"/>
          <w:b/>
          <w:sz w:val="24"/>
        </w:rPr>
        <w:t>英國 NHS（國家醫療服務）AI 試點計畫</w:t>
      </w:r>
      <w:r>
        <w:rPr>
          <w:rFonts w:ascii="Arial" w:hAnsi="Arial"/>
          <w:sz w:val="24"/>
        </w:rPr>
        <w:t>（2025年12月）</w:t>
      </w:r>
    </w:p>
    <w:p>
      <w:pPr/>
      <w:r>
        <w:rPr>
          <w:rFonts w:ascii="Arial" w:hAnsi="Arial"/>
          <w:sz w:val="24"/>
        </w:rPr>
        <w:t xml:space="preserve">   - 為英國NHS提供Foundry平台，優化病患資料整合與資源調度</w:t>
      </w:r>
    </w:p>
    <w:p>
      <w:pPr/>
      <w:r>
        <w:rPr>
          <w:rFonts w:ascii="Arial" w:hAnsi="Arial"/>
          <w:sz w:val="24"/>
        </w:rPr>
        <w:t xml:space="preserve">   - 合約金額未披露，但被視為商業化政府應用的重要案例</w:t>
      </w:r>
    </w:p>
    <w:p>
      <w:pPr/>
      <w:r>
        <w:rPr>
          <w:rFonts w:ascii="Arial" w:hAnsi="Arial"/>
          <w:sz w:val="24"/>
        </w:rPr>
        <w:t>#### 商業客戶拓展</w:t>
      </w:r>
    </w:p>
    <w:p>
      <w:pPr>
        <w:pStyle w:val="ListNumber"/>
      </w:pPr>
      <w:r>
        <w:rPr>
          <w:rFonts w:ascii="Arial" w:hAnsi="Arial"/>
          <w:b/>
          <w:sz w:val="24"/>
        </w:rPr>
        <w:t>Airbus 合作夥伴關係擴展</w:t>
      </w:r>
      <w:r>
        <w:rPr>
          <w:rFonts w:ascii="Arial" w:hAnsi="Arial"/>
          <w:sz w:val="24"/>
        </w:rPr>
        <w:t>（2026年2月）</w:t>
      </w:r>
    </w:p>
    <w:p>
      <w:pPr/>
      <w:r>
        <w:rPr>
          <w:rFonts w:ascii="Arial" w:hAnsi="Arial"/>
          <w:sz w:val="24"/>
        </w:rPr>
        <w:t xml:space="preserve">   - 根據Yahoo Finance報導，Palantir與Airbus延伸合作協議</w:t>
      </w:r>
    </w:p>
    <w:p>
      <w:pPr/>
      <w:r>
        <w:rPr>
          <w:rFonts w:ascii="Arial" w:hAnsi="Arial"/>
          <w:sz w:val="24"/>
        </w:rPr>
        <w:t xml:space="preserve">   - 應用於航太供應鏈優化與製造流程數位化</w:t>
      </w:r>
    </w:p>
    <w:p>
      <w:pPr>
        <w:pStyle w:val="ListNumber"/>
      </w:pPr>
      <w:r>
        <w:rPr>
          <w:rFonts w:ascii="Arial" w:hAnsi="Arial"/>
          <w:b/>
          <w:sz w:val="24"/>
        </w:rPr>
        <w:t>AIP Bootcamp計畫擴張</w:t>
      </w:r>
    </w:p>
    <w:p>
      <w:pPr/>
      <w:r>
        <w:rPr>
          <w:rFonts w:ascii="Arial" w:hAnsi="Arial"/>
          <w:sz w:val="24"/>
        </w:rPr>
        <w:t xml:space="preserve">   - 2025年Q4共舉辦 </w:t>
      </w:r>
      <w:r>
        <w:rPr>
          <w:rFonts w:ascii="Arial" w:hAnsi="Arial"/>
          <w:b/>
          <w:sz w:val="24"/>
        </w:rPr>
        <w:t>超過500場 AIP Bootcamp</w:t>
      </w:r>
      <w:r>
        <w:rPr>
          <w:rFonts w:ascii="Arial" w:hAnsi="Arial"/>
          <w:sz w:val="24"/>
        </w:rPr>
        <w:t>，吸引數千家企業參與</w:t>
      </w:r>
    </w:p>
    <w:p>
      <w:pPr/>
      <w:r>
        <w:rPr>
          <w:rFonts w:ascii="Arial" w:hAnsi="Arial"/>
          <w:sz w:val="24"/>
        </w:rPr>
        <w:t xml:space="preserve">   - 轉換率持續提升，多家Fortune 500企業成為付費客戶</w:t>
      </w:r>
    </w:p>
    <w:p>
      <w:pPr>
        <w:pStyle w:val="Heading3"/>
      </w:pPr>
      <w:r>
        <w:t>4.2 分析師評級與目標價（2026年2月最新）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分析師/機構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評級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目標價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日期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**Mizuho**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Outperform（升級）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$195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2026/02/18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Wedbush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Outperform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$260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2026/02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平均目標價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**$189.92**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目標價區間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$70 - $260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</w:tr>
    </w:tbl>
    <w:p>
      <w:pPr/>
      <w:r>
        <w:rPr>
          <w:rFonts w:ascii="Arial" w:hAnsi="Arial"/>
          <w:b/>
          <w:sz w:val="24"/>
        </w:rPr>
        <w:t>分析師共識：</w:t>
      </w:r>
    </w:p>
    <w:p>
      <w:pPr>
        <w:pStyle w:val="ListBullet"/>
      </w:pPr>
      <w:r>
        <w:rPr>
          <w:rFonts w:ascii="Arial" w:hAnsi="Arial"/>
          <w:sz w:val="24"/>
        </w:rPr>
        <w:t>Yahoo Finance顯示，多數分析師對PLTR維持「Buy」或「Outperform」評級</w:t>
      </w:r>
    </w:p>
    <w:p>
      <w:pPr>
        <w:pStyle w:val="ListBullet"/>
      </w:pPr>
      <w:r>
        <w:rPr>
          <w:rFonts w:ascii="Arial" w:hAnsi="Arial"/>
          <w:sz w:val="24"/>
        </w:rPr>
        <w:t xml:space="preserve">平均目標價 </w:t>
      </w:r>
      <w:r>
        <w:rPr>
          <w:rFonts w:ascii="Arial" w:hAnsi="Arial"/>
          <w:b/>
          <w:sz w:val="24"/>
        </w:rPr>
        <w:t>$189.92</w:t>
      </w:r>
      <w:r>
        <w:rPr>
          <w:rFonts w:ascii="Arial" w:hAnsi="Arial"/>
          <w:sz w:val="24"/>
        </w:rPr>
        <w:t xml:space="preserve">，相比當前股價$135.38有 </w:t>
      </w:r>
      <w:r>
        <w:rPr>
          <w:rFonts w:ascii="Arial" w:hAnsi="Arial"/>
          <w:b/>
          <w:sz w:val="24"/>
        </w:rPr>
        <w:t>+40%上漲空間</w:t>
      </w:r>
    </w:p>
    <w:p>
      <w:pPr>
        <w:pStyle w:val="ListBullet"/>
      </w:pPr>
      <w:r>
        <w:rPr>
          <w:rFonts w:ascii="Arial" w:hAnsi="Arial"/>
          <w:sz w:val="24"/>
        </w:rPr>
        <w:t>Wedbush給予最高目標價$260，基於AIP的革命性潛力與政府合約穩定性</w:t>
      </w:r>
    </w:p>
    <w:p>
      <w:r>
        <w:t>__________________________________________________</w:t>
      </w:r>
    </w:p>
    <w:p>
      <w:pPr>
        <w:pStyle w:val="Heading2"/>
      </w:pPr>
      <w:r>
        <w:t>五、2026年關鍵催化劑時間軸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時間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事件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預期影響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**2026年2月17日**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**Q4 2025財報公布**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✅ 已公布，營收成長70% YoY，超預期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2026年5月上旬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Q1 2026財報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關鍵指標：營收成長是否維持50%+、AIP客戶數增長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2026年6月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美國聯邦預算年度FY2027啟動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國防部新一輪AI與情報合約招標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2026年8月上旬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Q2 2026財報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商業客戶增速、國際市場拓展進度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2026年9月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Palantir AIPCon 2026（預期）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新產品發布、客戶案例分享、戰略更新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2026年11月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Q3 2026財報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年底衝刺動能、2027年指引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2026年12月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可能納入S&amp;P 500指數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若獲利持續強勁，可能觸發被動資金流入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六、核心投資問題深度分析</w:t>
      </w:r>
    </w:p>
    <w:p>
      <w:pPr>
        <w:pStyle w:val="Heading3"/>
      </w:pPr>
      <w:r>
        <w:t>6.1 2026年能否維持56% YoY成長率？</w:t>
      </w:r>
    </w:p>
    <w:p>
      <w:pPr/>
      <w:r>
        <w:rPr>
          <w:rFonts w:ascii="Arial" w:hAnsi="Arial"/>
          <w:b/>
          <w:sz w:val="24"/>
        </w:rPr>
        <w:t>樂觀因素：</w:t>
      </w:r>
    </w:p>
    <w:p>
      <w:pPr>
        <w:pStyle w:val="ListNumber"/>
      </w:pPr>
      <w:r>
        <w:rPr>
          <w:rFonts w:ascii="Arial" w:hAnsi="Arial"/>
          <w:b/>
          <w:sz w:val="24"/>
        </w:rPr>
        <w:t>AIP動能強勁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- 2025年AIP帶動商業客戶數從2024年的321家增至2025年的超過500家（估計）</w:t>
      </w:r>
    </w:p>
    <w:p>
      <w:pPr/>
      <w:r>
        <w:rPr>
          <w:rFonts w:ascii="Arial" w:hAnsi="Arial"/>
          <w:sz w:val="24"/>
        </w:rPr>
        <w:t xml:space="preserve">   - AIP Bootcamp轉換率持續提升，企業平均合約金額從數十萬美元提升至數百萬美元</w:t>
      </w:r>
    </w:p>
    <w:p>
      <w:pPr>
        <w:pStyle w:val="ListNumber"/>
      </w:pPr>
      <w:r>
        <w:rPr>
          <w:rFonts w:ascii="Arial" w:hAnsi="Arial"/>
          <w:b/>
          <w:sz w:val="24"/>
        </w:rPr>
        <w:t>政府合約續約與擴張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美國國防預算中AI與數據整合項目預算持續增長</w:t>
      </w:r>
    </w:p>
    <w:p>
      <w:pPr/>
      <w:r>
        <w:rPr>
          <w:rFonts w:ascii="Arial" w:hAnsi="Arial"/>
          <w:sz w:val="24"/>
        </w:rPr>
        <w:t xml:space="preserve">   - Gotham平台已成為美軍與情報單位的核心基礎設施，續約率接近100%</w:t>
      </w:r>
    </w:p>
    <w:p>
      <w:pPr>
        <w:pStyle w:val="ListNumber"/>
      </w:pPr>
      <w:r>
        <w:rPr>
          <w:rFonts w:ascii="Arial" w:hAnsi="Arial"/>
          <w:b/>
          <w:sz w:val="24"/>
        </w:rPr>
        <w:t>規模效應顯現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Q4 2025營運利潤率達40.9%，顯示固定成本攤提效應明顯</w:t>
      </w:r>
    </w:p>
    <w:p>
      <w:pPr/>
      <w:r>
        <w:rPr>
          <w:rFonts w:ascii="Arial" w:hAnsi="Arial"/>
          <w:sz w:val="24"/>
        </w:rPr>
        <w:t xml:space="preserve">   - 銷售與行銷費用佔營收比從2024年的31.0%降至2025年的23.6%</w:t>
      </w:r>
    </w:p>
    <w:p>
      <w:pPr/>
      <w:r>
        <w:rPr>
          <w:rFonts w:ascii="Arial" w:hAnsi="Arial"/>
          <w:b/>
          <w:sz w:val="24"/>
        </w:rPr>
        <w:t>挑戰因素：</w:t>
      </w:r>
    </w:p>
    <w:p>
      <w:pPr>
        <w:pStyle w:val="ListNumber"/>
      </w:pPr>
      <w:r>
        <w:rPr>
          <w:rFonts w:ascii="Arial" w:hAnsi="Arial"/>
          <w:b/>
          <w:sz w:val="24"/>
        </w:rPr>
        <w:t>基期效應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- 2025年營收基期達$44.75億，2026年若維持56%成長需達到 </w:t>
      </w:r>
      <w:r>
        <w:rPr>
          <w:rFonts w:ascii="Arial" w:hAnsi="Arial"/>
          <w:b/>
          <w:sz w:val="24"/>
        </w:rPr>
        <w:t>$69.8億</w:t>
      </w:r>
      <w:r>
        <w:rPr>
          <w:rFonts w:ascii="Arial" w:hAnsi="Arial"/>
          <w:sz w:val="24"/>
        </w:rPr>
        <w:t>（+$25億增量）</w:t>
      </w:r>
    </w:p>
    <w:p>
      <w:pPr/>
      <w:r>
        <w:rPr>
          <w:rFonts w:ascii="Arial" w:hAnsi="Arial"/>
          <w:sz w:val="24"/>
        </w:rPr>
        <w:t xml:space="preserve">   - Q4 2025的70%成長可能為季節性高峰，Q1-Q2 2026可能放緩至40-50%區間</w:t>
      </w:r>
    </w:p>
    <w:p>
      <w:pPr>
        <w:pStyle w:val="ListNumber"/>
      </w:pPr>
      <w:r>
        <w:rPr>
          <w:rFonts w:ascii="Arial" w:hAnsi="Arial"/>
          <w:b/>
          <w:sz w:val="24"/>
        </w:rPr>
        <w:t>宏觀經濟不確定性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企業IT預算可能因經濟衰退或利率環境收緊而縮減</w:t>
      </w:r>
    </w:p>
    <w:p>
      <w:pPr/>
      <w:r>
        <w:rPr>
          <w:rFonts w:ascii="Arial" w:hAnsi="Arial"/>
          <w:sz w:val="24"/>
        </w:rPr>
        <w:t xml:space="preserve">   - 政府預算週期變動（新一屆政府政策調整）</w:t>
      </w:r>
    </w:p>
    <w:p>
      <w:pPr>
        <w:pStyle w:val="ListNumber"/>
      </w:pPr>
      <w:r>
        <w:rPr>
          <w:rFonts w:ascii="Arial" w:hAnsi="Arial"/>
          <w:b/>
          <w:sz w:val="24"/>
        </w:rPr>
        <w:t>競爭加劇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Databricks、Snowflake、Microsoft Azure AI等平台積極搶攻企業AI市場</w:t>
      </w:r>
    </w:p>
    <w:p>
      <w:pPr/>
      <w:r>
        <w:rPr>
          <w:rFonts w:ascii="Arial" w:hAnsi="Arial"/>
          <w:sz w:val="24"/>
        </w:rPr>
        <w:t xml:space="preserve">   - 開源LLM與AI工具降低企業自建門檻</w:t>
      </w:r>
    </w:p>
    <w:p>
      <w:pPr/>
      <w:r>
        <w:rPr>
          <w:rFonts w:ascii="Arial" w:hAnsi="Arial"/>
          <w:b/>
          <w:sz w:val="24"/>
        </w:rPr>
        <w:t>我們的判斷：</w:t>
      </w:r>
    </w:p>
    <w:p>
      <w:pPr>
        <w:pStyle w:val="ListBullet"/>
      </w:pPr>
      <w:r>
        <w:rPr>
          <w:rFonts w:ascii="Arial" w:hAnsi="Arial"/>
          <w:b/>
          <w:sz w:val="24"/>
        </w:rPr>
        <w:t>2026年成長率預估：45-50% YoY</w:t>
      </w:r>
    </w:p>
    <w:p>
      <w:pPr>
        <w:pStyle w:val="ListBullet"/>
      </w:pPr>
      <w:r>
        <w:rPr>
          <w:rFonts w:ascii="Arial" w:hAnsi="Arial"/>
          <w:sz w:val="24"/>
        </w:rPr>
        <w:t>Q1-Q2可能放緩至40-45%，但下半年在AIP規模化與國防合約交付下可能重返50%+</w:t>
      </w:r>
    </w:p>
    <w:p>
      <w:pPr>
        <w:pStyle w:val="ListBullet"/>
      </w:pPr>
      <w:r>
        <w:rPr>
          <w:rFonts w:ascii="Arial" w:hAnsi="Arial"/>
          <w:sz w:val="24"/>
        </w:rPr>
        <w:t>全年營收預估：</w:t>
      </w:r>
      <w:r>
        <w:rPr>
          <w:rFonts w:ascii="Arial" w:hAnsi="Arial"/>
          <w:b/>
          <w:sz w:val="24"/>
        </w:rPr>
        <w:t>$65-68億美元</w:t>
      </w:r>
      <w:r>
        <w:rPr>
          <w:rFonts w:ascii="Arial" w:hAnsi="Arial"/>
          <w:sz w:val="24"/>
        </w:rPr>
        <w:t>（市場共識約$60-65億）</w:t>
      </w:r>
    </w:p>
    <w:p>
      <w:pPr>
        <w:pStyle w:val="Heading3"/>
      </w:pPr>
      <w:r>
        <w:t>6.2 利潤率能否持續改善？</w:t>
      </w:r>
    </w:p>
    <w:p>
      <w:pPr/>
      <w:r>
        <w:rPr>
          <w:rFonts w:ascii="Arial" w:hAnsi="Arial"/>
          <w:b/>
          <w:sz w:val="24"/>
        </w:rPr>
        <w:t>2025年利潤率突破驅動因素：</w:t>
      </w:r>
    </w:p>
    <w:p>
      <w:pPr>
        <w:pStyle w:val="ListNumber"/>
      </w:pPr>
      <w:r>
        <w:rPr>
          <w:rFonts w:ascii="Arial" w:hAnsi="Arial"/>
          <w:b/>
          <w:sz w:val="24"/>
        </w:rPr>
        <w:t>收入結構優化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高毛利的軟體訂閱收入佔比提升</w:t>
      </w:r>
    </w:p>
    <w:p>
      <w:pPr/>
      <w:r>
        <w:rPr>
          <w:rFonts w:ascii="Arial" w:hAnsi="Arial"/>
          <w:sz w:val="24"/>
        </w:rPr>
        <w:t xml:space="preserve">   - 大型企業客戶合約平均金額增長，減少小客戶服務成本</w:t>
      </w:r>
    </w:p>
    <w:p>
      <w:pPr>
        <w:pStyle w:val="ListNumber"/>
      </w:pPr>
      <w:r>
        <w:rPr>
          <w:rFonts w:ascii="Arial" w:hAnsi="Arial"/>
          <w:b/>
          <w:sz w:val="24"/>
        </w:rPr>
        <w:t>股票薪酬費用（SBC）相對下降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SBC從2024年的$6.92億增至2025年的$6.84億（絕對值略降）</w:t>
      </w:r>
    </w:p>
    <w:p>
      <w:pPr/>
      <w:r>
        <w:rPr>
          <w:rFonts w:ascii="Arial" w:hAnsi="Arial"/>
          <w:sz w:val="24"/>
        </w:rPr>
        <w:t xml:space="preserve">   - SBC/營收比從24.1%降至 </w:t>
      </w:r>
      <w:r>
        <w:rPr>
          <w:rFonts w:ascii="Arial" w:hAnsi="Arial"/>
          <w:b/>
          <w:sz w:val="24"/>
        </w:rPr>
        <w:t>15.3%</w:t>
      </w:r>
      <w:r>
        <w:rPr>
          <w:rFonts w:ascii="Arial" w:hAnsi="Arial"/>
          <w:sz w:val="24"/>
        </w:rPr>
        <w:t>，顯示股權稀釋壓力減緩</w:t>
      </w:r>
    </w:p>
    <w:p>
      <w:pPr>
        <w:pStyle w:val="ListNumber"/>
      </w:pPr>
      <w:r>
        <w:rPr>
          <w:rFonts w:ascii="Arial" w:hAnsi="Arial"/>
          <w:b/>
          <w:sz w:val="24"/>
        </w:rPr>
        <w:t>營運槓桿發揮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R&amp;D費用/營收從17.7%降至12.5%</w:t>
      </w:r>
    </w:p>
    <w:p>
      <w:pPr/>
      <w:r>
        <w:rPr>
          <w:rFonts w:ascii="Arial" w:hAnsi="Arial"/>
          <w:sz w:val="24"/>
        </w:rPr>
        <w:t xml:space="preserve">   - G&amp;A費用/營收從20.7%降至14.7%</w:t>
      </w:r>
    </w:p>
    <w:p>
      <w:pPr/>
      <w:r>
        <w:rPr>
          <w:rFonts w:ascii="Arial" w:hAnsi="Arial"/>
          <w:sz w:val="24"/>
        </w:rPr>
        <w:t xml:space="preserve">   - S&amp;M費用/營收從31.0%降至23.6%</w:t>
      </w:r>
    </w:p>
    <w:p>
      <w:pPr/>
      <w:r>
        <w:rPr>
          <w:rFonts w:ascii="Arial" w:hAnsi="Arial"/>
          <w:b/>
          <w:sz w:val="24"/>
        </w:rPr>
        <w:t>2026年展望：</w:t>
      </w:r>
    </w:p>
    <w:p>
      <w:pPr>
        <w:pStyle w:val="ListBullet"/>
      </w:pPr>
      <w:r>
        <w:rPr>
          <w:rFonts w:ascii="Arial" w:hAnsi="Arial"/>
          <w:b/>
          <w:sz w:val="24"/>
        </w:rPr>
        <w:t>GAAP營業利潤率目標：38-42%</w:t>
      </w:r>
    </w:p>
    <w:p>
      <w:pPr>
        <w:pStyle w:val="ListBullet"/>
      </w:pPr>
      <w:r>
        <w:rPr>
          <w:rFonts w:ascii="Arial" w:hAnsi="Arial"/>
          <w:b/>
          <w:sz w:val="24"/>
        </w:rPr>
        <w:t>GAAP淨利率目標：35-40%</w:t>
      </w:r>
    </w:p>
    <w:p>
      <w:pPr>
        <w:pStyle w:val="ListBullet"/>
      </w:pPr>
      <w:r>
        <w:rPr>
          <w:rFonts w:ascii="Arial" w:hAnsi="Arial"/>
          <w:sz w:val="24"/>
        </w:rPr>
        <w:t>關鍵變數：SBC費用控制、大客戶續約率、AIP平台自動化程度</w:t>
      </w:r>
    </w:p>
    <w:p>
      <w:pPr/>
      <w:r>
        <w:rPr>
          <w:rFonts w:ascii="Arial" w:hAnsi="Arial"/>
          <w:b/>
          <w:sz w:val="24"/>
        </w:rPr>
        <w:t>風險：</w:t>
      </w:r>
    </w:p>
    <w:p>
      <w:pPr>
        <w:pStyle w:val="ListBullet"/>
      </w:pPr>
      <w:r>
        <w:rPr>
          <w:rFonts w:ascii="Arial" w:hAnsi="Arial"/>
          <w:sz w:val="24"/>
        </w:rPr>
        <w:t>若為搶佔市場而大幅增加銷售投入（S&amp;M費用），利潤率可能暫時回調</w:t>
      </w:r>
    </w:p>
    <w:p>
      <w:pPr>
        <w:pStyle w:val="ListBullet"/>
      </w:pPr>
      <w:r>
        <w:rPr>
          <w:rFonts w:ascii="Arial" w:hAnsi="Arial"/>
          <w:sz w:val="24"/>
        </w:rPr>
        <w:t>新產品研發（如垂直產業解決方案）可能短期提高R&amp;D支出</w:t>
      </w:r>
    </w:p>
    <w:p>
      <w:pPr>
        <w:pStyle w:val="Heading3"/>
      </w:pPr>
      <w:r>
        <w:t>6.3 2027年後的戰略方向：Palantir往哪裡去？</w:t>
      </w:r>
    </w:p>
    <w:p>
      <w:pPr/>
      <w:r>
        <w:rPr>
          <w:rFonts w:ascii="Arial" w:hAnsi="Arial"/>
          <w:sz w:val="24"/>
        </w:rPr>
        <w:t xml:space="preserve">#### </w:t>
      </w:r>
      <w:r>
        <w:rPr>
          <w:rFonts w:ascii="Arial" w:hAnsi="Arial"/>
          <w:b/>
          <w:sz w:val="24"/>
        </w:rPr>
        <w:t>短期（2026-2027）：鞏固AI作業系統領導地位</w:t>
      </w:r>
    </w:p>
    <w:p>
      <w:pPr>
        <w:pStyle w:val="ListNumber"/>
      </w:pPr>
      <w:r>
        <w:rPr>
          <w:rFonts w:ascii="Arial" w:hAnsi="Arial"/>
          <w:b/>
          <w:sz w:val="24"/>
        </w:rPr>
        <w:t>AIP平台深化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從「試點專案」轉向「企業級部署」，單客戶合約金額從數百萬提升至數千萬美元</w:t>
      </w:r>
    </w:p>
    <w:p>
      <w:pPr/>
      <w:r>
        <w:rPr>
          <w:rFonts w:ascii="Arial" w:hAnsi="Arial"/>
          <w:sz w:val="24"/>
        </w:rPr>
        <w:t xml:space="preserve">   - 開發垂直產業解決方案（如醫療、金融、製造、能源），降低客戶部署門檻</w:t>
      </w:r>
    </w:p>
    <w:p>
      <w:pPr>
        <w:pStyle w:val="ListNumber"/>
      </w:pPr>
      <w:r>
        <w:rPr>
          <w:rFonts w:ascii="Arial" w:hAnsi="Arial"/>
          <w:b/>
          <w:sz w:val="24"/>
        </w:rPr>
        <w:t>國防與情報市場深耕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擴大Gotham平台在盟國（日本、韓國、澳洲、北約成員國）的部署</w:t>
      </w:r>
    </w:p>
    <w:p>
      <w:pPr/>
      <w:r>
        <w:rPr>
          <w:rFonts w:ascii="Arial" w:hAnsi="Arial"/>
          <w:sz w:val="24"/>
        </w:rPr>
        <w:t xml:space="preserve">   - 推動「AI決策優勢」成為西方陣營軍事競爭的核心能力</w:t>
      </w:r>
    </w:p>
    <w:p>
      <w:pPr>
        <w:pStyle w:val="ListNumber"/>
      </w:pPr>
      <w:r>
        <w:rPr>
          <w:rFonts w:ascii="Arial" w:hAnsi="Arial"/>
          <w:b/>
          <w:sz w:val="24"/>
        </w:rPr>
        <w:t>國際化加速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歐洲（尤其德國、法國）與亞太（日本、印度）成為新增長點</w:t>
      </w:r>
    </w:p>
    <w:p>
      <w:pPr/>
      <w:r>
        <w:rPr>
          <w:rFonts w:ascii="Arial" w:hAnsi="Arial"/>
          <w:sz w:val="24"/>
        </w:rPr>
        <w:t xml:space="preserve">   - 英國NHS等政府AI應用案例複製至其他國家</w:t>
      </w:r>
    </w:p>
    <w:p>
      <w:pPr/>
      <w:r>
        <w:rPr>
          <w:rFonts w:ascii="Arial" w:hAnsi="Arial"/>
          <w:sz w:val="24"/>
        </w:rPr>
        <w:t xml:space="preserve">#### </w:t>
      </w:r>
      <w:r>
        <w:rPr>
          <w:rFonts w:ascii="Arial" w:hAnsi="Arial"/>
          <w:b/>
          <w:sz w:val="24"/>
        </w:rPr>
        <w:t>中長期（2028+）：平台生態系與新業務模式</w:t>
      </w:r>
    </w:p>
    <w:p>
      <w:pPr>
        <w:pStyle w:val="ListNumber"/>
      </w:pPr>
      <w:r>
        <w:rPr>
          <w:rFonts w:ascii="Arial" w:hAnsi="Arial"/>
          <w:b/>
          <w:sz w:val="24"/>
        </w:rPr>
        <w:t>合作夥伴生態系建立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類似Salesforce的AppExchange，允許第三方開發者在Foundry/AIP上構建應用</w:t>
      </w:r>
    </w:p>
    <w:p>
      <w:pPr/>
      <w:r>
        <w:rPr>
          <w:rFonts w:ascii="Arial" w:hAnsi="Arial"/>
          <w:sz w:val="24"/>
        </w:rPr>
        <w:t xml:space="preserve">   - 從「賣軟體」轉向「平台服務費+交易抽成」模式</w:t>
      </w:r>
    </w:p>
    <w:p>
      <w:pPr>
        <w:pStyle w:val="ListNumber"/>
      </w:pPr>
      <w:r>
        <w:rPr>
          <w:rFonts w:ascii="Arial" w:hAnsi="Arial"/>
          <w:b/>
          <w:sz w:val="24"/>
        </w:rPr>
        <w:t>數據市場（Data Marketplace）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利用Foundry平台優勢，建立企業間數據交換與共享市場</w:t>
      </w:r>
    </w:p>
    <w:p>
      <w:pPr/>
      <w:r>
        <w:rPr>
          <w:rFonts w:ascii="Arial" w:hAnsi="Arial"/>
          <w:sz w:val="24"/>
        </w:rPr>
        <w:t xml:space="preserve">   - 可能涉及供應鏈數據、行業benchmark數據等（需注意隱私與合規）</w:t>
      </w:r>
    </w:p>
    <w:p>
      <w:pPr>
        <w:pStyle w:val="ListNumber"/>
      </w:pPr>
      <w:r>
        <w:rPr>
          <w:rFonts w:ascii="Arial" w:hAnsi="Arial"/>
          <w:b/>
          <w:sz w:val="24"/>
        </w:rPr>
        <w:t>垂直整合與併購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可能收購特定垂直領域的AI應用公司（如醫療影像、金融風控）</w:t>
      </w:r>
    </w:p>
    <w:p>
      <w:pPr/>
      <w:r>
        <w:rPr>
          <w:rFonts w:ascii="Arial" w:hAnsi="Arial"/>
          <w:sz w:val="24"/>
        </w:rPr>
        <w:t xml:space="preserve">   - 強化端到端解決方案能力</w:t>
      </w:r>
    </w:p>
    <w:p>
      <w:pPr>
        <w:pStyle w:val="ListNumber"/>
      </w:pPr>
      <w:r>
        <w:rPr>
          <w:rFonts w:ascii="Arial" w:hAnsi="Arial"/>
          <w:b/>
          <w:sz w:val="24"/>
        </w:rPr>
        <w:t>防禦性護城河：政府認證與安全標準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持續通過FedRAMP High、IL6等最高級別安全認證</w:t>
      </w:r>
    </w:p>
    <w:p>
      <w:pPr/>
      <w:r>
        <w:rPr>
          <w:rFonts w:ascii="Arial" w:hAnsi="Arial"/>
          <w:sz w:val="24"/>
        </w:rPr>
        <w:t xml:space="preserve">   - 成為「可信AI基礎設施」的全球標準制定者</w:t>
      </w:r>
    </w:p>
    <w:p>
      <w:pPr/>
      <w:r>
        <w:rPr>
          <w:rFonts w:ascii="Arial" w:hAnsi="Arial"/>
          <w:b/>
          <w:sz w:val="24"/>
        </w:rPr>
        <w:t>CEO Alex Karp的願景（根據過往訪談）：</w:t>
      </w:r>
    </w:p>
    <w:p>
      <w:pPr/>
      <w:r>
        <w:rPr>
          <w:rFonts w:ascii="Arial" w:hAnsi="Arial"/>
          <w:sz w:val="24"/>
        </w:rPr>
        <w:t>&gt; "Palantir的目標不僅是提供軟體，而是成為未來10-20年內</w:t>
      </w:r>
      <w:r>
        <w:rPr>
          <w:rFonts w:ascii="Arial" w:hAnsi="Arial"/>
          <w:b/>
          <w:sz w:val="24"/>
        </w:rPr>
        <w:t>資料驅動決策的底層作業系統</w:t>
      </w:r>
      <w:r>
        <w:rPr>
          <w:rFonts w:ascii="Arial" w:hAnsi="Arial"/>
          <w:sz w:val="24"/>
        </w:rPr>
        <w:t>。我們希望在AI時代，Palantir成為企業與政府的'數位神經系統'，就像Windows之於個人電腦時代。"</w:t>
      </w:r>
    </w:p>
    <w:p>
      <w:r>
        <w:t>__________________________________________________</w:t>
      </w:r>
    </w:p>
    <w:p>
      <w:pPr>
        <w:pStyle w:val="Heading2"/>
      </w:pPr>
      <w:r>
        <w:t>七、競爭格局分析</w:t>
      </w:r>
    </w:p>
    <w:p>
      <w:pPr>
        <w:pStyle w:val="Heading3"/>
      </w:pPr>
      <w:r>
        <w:t>7.1 主要競爭對手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競爭對手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核心產品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優勢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劣勢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**Databricks**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Lakehouse平台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開源生態（Spark）、數據科學家友好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缺乏端到端作戰決策能力、政府客戶少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**Snowflake**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雲端數據倉儲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易用性高、多雲支援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偏數據儲存，缺乏AI應用層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**Microsoft Azure AI**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Azure OpenAI、Copilot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企業客戶基礎廣、Office 365整合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通用型平台，缺乏垂直深度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**Google Cloud Vertex AI**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AI/ML平台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技術領先、TPU硬體優勢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企業信任度較低、政府市場弱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**C3.ai**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企業AI應用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垂直產業解決方案豐富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規模較小、財務表現不穩</w:t>
            </w:r>
          </w:p>
        </w:tc>
      </w:tr>
    </w:tbl>
    <w:p>
      <w:pPr>
        <w:pStyle w:val="Heading3"/>
      </w:pPr>
      <w:r>
        <w:t>7.2 Palantir的差異化競爭優勢</w:t>
      </w:r>
    </w:p>
    <w:p>
      <w:pPr>
        <w:pStyle w:val="ListNumber"/>
      </w:pPr>
      <w:r>
        <w:rPr>
          <w:rFonts w:ascii="Arial" w:hAnsi="Arial"/>
          <w:b/>
          <w:sz w:val="24"/>
        </w:rPr>
        <w:t>安全認證與政府信任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全球唯一同時擁有美國DoD IL6、FedRAMP High、NATO認證的商業AI平台</w:t>
      </w:r>
    </w:p>
    <w:p>
      <w:pPr/>
      <w:r>
        <w:rPr>
          <w:rFonts w:ascii="Arial" w:hAnsi="Arial"/>
          <w:sz w:val="24"/>
        </w:rPr>
        <w:t xml:space="preserve">   - 進入門檻極高，競爭對手短期難以複製</w:t>
      </w:r>
    </w:p>
    <w:p>
      <w:pPr>
        <w:pStyle w:val="ListNumber"/>
      </w:pPr>
      <w:r>
        <w:rPr>
          <w:rFonts w:ascii="Arial" w:hAnsi="Arial"/>
          <w:b/>
          <w:sz w:val="24"/>
        </w:rPr>
        <w:t>端到端解決方案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從數據整合（Apollo）→ 數據分析（Foundry）→ AI決策（AIP）→ 作戰執行（Gotham）完整閉環</w:t>
      </w:r>
    </w:p>
    <w:p>
      <w:pPr/>
      <w:r>
        <w:rPr>
          <w:rFonts w:ascii="Arial" w:hAnsi="Arial"/>
          <w:sz w:val="24"/>
        </w:rPr>
        <w:t xml:space="preserve">   - 競爭對手多為單點工具，缺乏整合能力</w:t>
      </w:r>
    </w:p>
    <w:p>
      <w:pPr>
        <w:pStyle w:val="ListNumber"/>
      </w:pPr>
      <w:r>
        <w:rPr>
          <w:rFonts w:ascii="Arial" w:hAnsi="Arial"/>
          <w:b/>
          <w:sz w:val="24"/>
        </w:rPr>
        <w:t>行業深度知識（Domain Expertise）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- 20年國防與情報經驗，累積大量場景化know-how</w:t>
      </w:r>
    </w:p>
    <w:p>
      <w:pPr/>
      <w:r>
        <w:rPr>
          <w:rFonts w:ascii="Arial" w:hAnsi="Arial"/>
          <w:sz w:val="24"/>
        </w:rPr>
        <w:t xml:space="preserve">   - AIP Bootcamp模式快速複製至商業客戶</w:t>
      </w:r>
    </w:p>
    <w:p>
      <w:pPr>
        <w:pStyle w:val="ListNumber"/>
      </w:pPr>
      <w:r>
        <w:rPr>
          <w:rFonts w:ascii="Arial" w:hAnsi="Arial"/>
          <w:b/>
          <w:sz w:val="24"/>
        </w:rPr>
        <w:t>客戶黏性極高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一旦部署Palantir平台，數據與流程深度綁定，替換成本極高</w:t>
      </w:r>
    </w:p>
    <w:p>
      <w:pPr/>
      <w:r>
        <w:rPr>
          <w:rFonts w:ascii="Arial" w:hAnsi="Arial"/>
          <w:sz w:val="24"/>
        </w:rPr>
        <w:t xml:space="preserve">   - 政府客戶續約率接近100%，商業客戶NRR（淨收入留存率）&gt;120%</w:t>
      </w:r>
    </w:p>
    <w:p>
      <w:pPr/>
      <w:r>
        <w:rPr>
          <w:rFonts w:ascii="Arial" w:hAnsi="Arial"/>
          <w:b/>
          <w:sz w:val="24"/>
        </w:rPr>
        <w:t>弱點：</w:t>
      </w:r>
    </w:p>
    <w:p>
      <w:pPr>
        <w:pStyle w:val="ListBullet"/>
      </w:pPr>
      <w:r>
        <w:rPr>
          <w:rFonts w:ascii="Arial" w:hAnsi="Arial"/>
          <w:sz w:val="24"/>
        </w:rPr>
        <w:t>品牌認知度低於Microsoft、Google等大廠</w:t>
      </w:r>
    </w:p>
    <w:p>
      <w:pPr>
        <w:pStyle w:val="ListBullet"/>
      </w:pPr>
      <w:r>
        <w:rPr>
          <w:rFonts w:ascii="Arial" w:hAnsi="Arial"/>
          <w:sz w:val="24"/>
        </w:rPr>
        <w:t>定價高昂（單客戶年合約通常數百萬美元起），中小企業難以負擔</w:t>
      </w:r>
    </w:p>
    <w:p>
      <w:pPr>
        <w:pStyle w:val="ListBullet"/>
      </w:pPr>
      <w:r>
        <w:rPr>
          <w:rFonts w:ascii="Arial" w:hAnsi="Arial"/>
          <w:sz w:val="24"/>
        </w:rPr>
        <w:t>部分客戶對「監控」印象存在疑慮（隱私爭議遺留）</w:t>
      </w:r>
    </w:p>
    <w:p>
      <w:r>
        <w:t>__________________________________________________</w:t>
      </w:r>
    </w:p>
    <w:p>
      <w:pPr>
        <w:pStyle w:val="Heading2"/>
      </w:pPr>
      <w:r>
        <w:t>八、風險因素</w:t>
      </w:r>
    </w:p>
    <w:p>
      <w:pPr>
        <w:pStyle w:val="Heading3"/>
      </w:pPr>
      <w:r>
        <w:t>8.1 業務風險</w:t>
      </w:r>
    </w:p>
    <w:p>
      <w:pPr>
        <w:pStyle w:val="ListNumber"/>
      </w:pPr>
      <w:r>
        <w:rPr>
          <w:rFonts w:ascii="Arial" w:hAnsi="Arial"/>
          <w:b/>
          <w:sz w:val="24"/>
        </w:rPr>
        <w:t>政府預算削減</w:t>
      </w:r>
      <w:r>
        <w:rPr>
          <w:rFonts w:ascii="Arial" w:hAnsi="Arial"/>
          <w:sz w:val="24"/>
        </w:rPr>
        <w:t>：若美國或盟國削減國防與情報預算，可能影響政府部門營收</w:t>
      </w:r>
    </w:p>
    <w:p>
      <w:pPr>
        <w:pStyle w:val="ListNumber"/>
      </w:pPr>
      <w:r>
        <w:rPr>
          <w:rFonts w:ascii="Arial" w:hAnsi="Arial"/>
          <w:b/>
          <w:sz w:val="24"/>
        </w:rPr>
        <w:t>客戶集中度</w:t>
      </w:r>
      <w:r>
        <w:rPr>
          <w:rFonts w:ascii="Arial" w:hAnsi="Arial"/>
          <w:sz w:val="24"/>
        </w:rPr>
        <w:t>：前10大客戶占營收比例較高（估計30-40%），單一大客戶流失影響大</w:t>
      </w:r>
    </w:p>
    <w:p>
      <w:pPr>
        <w:pStyle w:val="ListNumber"/>
      </w:pPr>
      <w:r>
        <w:rPr>
          <w:rFonts w:ascii="Arial" w:hAnsi="Arial"/>
          <w:b/>
          <w:sz w:val="24"/>
        </w:rPr>
        <w:t>AIP商業化不及預期</w:t>
      </w:r>
      <w:r>
        <w:rPr>
          <w:rFonts w:ascii="Arial" w:hAnsi="Arial"/>
          <w:sz w:val="24"/>
        </w:rPr>
        <w:t>：若企業客戶採用速度放緩，商業部門成長將失速</w:t>
      </w:r>
    </w:p>
    <w:p>
      <w:pPr>
        <w:pStyle w:val="Heading3"/>
      </w:pPr>
      <w:r>
        <w:t>8.2 財務風險</w:t>
      </w:r>
    </w:p>
    <w:p>
      <w:pPr>
        <w:pStyle w:val="ListNumber"/>
      </w:pPr>
      <w:r>
        <w:rPr>
          <w:rFonts w:ascii="Arial" w:hAnsi="Arial"/>
          <w:b/>
          <w:sz w:val="24"/>
        </w:rPr>
        <w:t>股票薪酬費用（SBC）</w:t>
      </w:r>
      <w:r>
        <w:rPr>
          <w:rFonts w:ascii="Arial" w:hAnsi="Arial"/>
          <w:sz w:val="24"/>
        </w:rPr>
        <w:t>：雖佔比下降，但絕對金額仍達$6.84億（2025），持續稀釋股東權益</w:t>
      </w:r>
    </w:p>
    <w:p>
      <w:pPr>
        <w:pStyle w:val="ListNumber"/>
      </w:pPr>
      <w:r>
        <w:rPr>
          <w:rFonts w:ascii="Arial" w:hAnsi="Arial"/>
          <w:b/>
          <w:sz w:val="24"/>
        </w:rPr>
        <w:t>估值過高</w:t>
      </w:r>
      <w:r>
        <w:rPr>
          <w:rFonts w:ascii="Arial" w:hAnsi="Arial"/>
          <w:sz w:val="24"/>
        </w:rPr>
        <w:t>：當前P/S（市銷率）約70倍，遠高於同業平均（Snowflake ~10倍），回調風險高</w:t>
      </w:r>
    </w:p>
    <w:p>
      <w:pPr>
        <w:pStyle w:val="ListNumber"/>
      </w:pPr>
      <w:r>
        <w:rPr>
          <w:rFonts w:ascii="Arial" w:hAnsi="Arial"/>
          <w:b/>
          <w:sz w:val="24"/>
        </w:rPr>
        <w:t>現金流季節性</w:t>
      </w:r>
      <w:r>
        <w:rPr>
          <w:rFonts w:ascii="Arial" w:hAnsi="Arial"/>
          <w:sz w:val="24"/>
        </w:rPr>
        <w:t>：Q4通常為政府合約交付高峰，Q1-Q2現金流可能波動</w:t>
      </w:r>
    </w:p>
    <w:p>
      <w:pPr>
        <w:pStyle w:val="Heading3"/>
      </w:pPr>
      <w:r>
        <w:t>8.3 市場與競爭風險</w:t>
      </w:r>
    </w:p>
    <w:p>
      <w:pPr>
        <w:pStyle w:val="ListNumber"/>
      </w:pPr>
      <w:r>
        <w:rPr>
          <w:rFonts w:ascii="Arial" w:hAnsi="Arial"/>
          <w:b/>
          <w:sz w:val="24"/>
        </w:rPr>
        <w:t>AI技術快速變遷</w:t>
      </w:r>
      <w:r>
        <w:rPr>
          <w:rFonts w:ascii="Arial" w:hAnsi="Arial"/>
          <w:sz w:val="24"/>
        </w:rPr>
        <w:t>：開源LLM與AI工具可能降低Palantir平台的技術壁壘</w:t>
      </w:r>
    </w:p>
    <w:p>
      <w:pPr>
        <w:pStyle w:val="ListNumber"/>
      </w:pPr>
      <w:r>
        <w:rPr>
          <w:rFonts w:ascii="Arial" w:hAnsi="Arial"/>
          <w:b/>
          <w:sz w:val="24"/>
        </w:rPr>
        <w:t>大廠競爭加劇</w:t>
      </w:r>
      <w:r>
        <w:rPr>
          <w:rFonts w:ascii="Arial" w:hAnsi="Arial"/>
          <w:sz w:val="24"/>
        </w:rPr>
        <w:t>：Microsoft、Google若推出類似整合平台，可能搶佔市場份額</w:t>
      </w:r>
    </w:p>
    <w:p>
      <w:pPr>
        <w:pStyle w:val="ListNumber"/>
      </w:pPr>
      <w:r>
        <w:rPr>
          <w:rFonts w:ascii="Arial" w:hAnsi="Arial"/>
          <w:b/>
          <w:sz w:val="24"/>
        </w:rPr>
        <w:t>地緣政治風險</w:t>
      </w:r>
      <w:r>
        <w:rPr>
          <w:rFonts w:ascii="Arial" w:hAnsi="Arial"/>
          <w:sz w:val="24"/>
        </w:rPr>
        <w:t>：若美國對華科技脫鉤政策反噬，可能限制國際市場拓展</w:t>
      </w:r>
    </w:p>
    <w:p>
      <w:pPr>
        <w:pStyle w:val="Heading3"/>
      </w:pPr>
      <w:r>
        <w:t>8.4 治理與監管風險</w:t>
      </w:r>
    </w:p>
    <w:p>
      <w:pPr>
        <w:pStyle w:val="ListNumber"/>
      </w:pPr>
      <w:r>
        <w:rPr>
          <w:rFonts w:ascii="Arial" w:hAnsi="Arial"/>
          <w:b/>
          <w:sz w:val="24"/>
        </w:rPr>
        <w:t>雙層股權結構</w:t>
      </w:r>
      <w:r>
        <w:rPr>
          <w:rFonts w:ascii="Arial" w:hAnsi="Arial"/>
          <w:sz w:val="24"/>
        </w:rPr>
        <w:t>：創辦人（Peter Thiel、Alex Karp等）持有F類超級投票權股份（49.99%投票權），散戶股東話語權低</w:t>
      </w:r>
    </w:p>
    <w:p>
      <w:pPr>
        <w:pStyle w:val="ListNumber"/>
      </w:pPr>
      <w:r>
        <w:rPr>
          <w:rFonts w:ascii="Arial" w:hAnsi="Arial"/>
          <w:b/>
          <w:sz w:val="24"/>
        </w:rPr>
        <w:t>隱私與倫理爭議</w:t>
      </w:r>
      <w:r>
        <w:rPr>
          <w:rFonts w:ascii="Arial" w:hAnsi="Arial"/>
          <w:sz w:val="24"/>
        </w:rPr>
        <w:t>：過往與ICE（美國移民執法局）合作引發爭議，可能影響ESG投資者偏好</w:t>
      </w:r>
    </w:p>
    <w:p>
      <w:pPr>
        <w:pStyle w:val="ListNumber"/>
      </w:pPr>
      <w:r>
        <w:rPr>
          <w:rFonts w:ascii="Arial" w:hAnsi="Arial"/>
          <w:b/>
          <w:sz w:val="24"/>
        </w:rPr>
        <w:t>反壟斷審查</w:t>
      </w:r>
      <w:r>
        <w:rPr>
          <w:rFonts w:ascii="Arial" w:hAnsi="Arial"/>
          <w:sz w:val="24"/>
        </w:rPr>
        <w:t>：若市佔率持續提升，可能面臨反壟斷調查</w:t>
      </w:r>
    </w:p>
    <w:p>
      <w:r>
        <w:t>__________________________________________________</w:t>
      </w:r>
    </w:p>
    <w:p>
      <w:pPr>
        <w:pStyle w:val="Heading2"/>
      </w:pPr>
      <w:r>
        <w:t>九、估值分析</w:t>
      </w:r>
    </w:p>
    <w:p>
      <w:pPr>
        <w:pStyle w:val="Heading3"/>
      </w:pPr>
      <w:r>
        <w:t>9.1 當前估值水準（2026/02/18）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指標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數值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同業平均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評估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**P/E (TTM)**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214.89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30-40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極高估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**Forward P/E**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217.39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25-35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極高估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**P/S (TTM)**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77.60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8-12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極高估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**P/B (MRQ)**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43.68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4-6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極高估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**EV/EBITDA**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219.23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15-25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極高估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**PEG Ratio**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3.62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&lt;2為合理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高估</w:t>
            </w:r>
          </w:p>
        </w:tc>
      </w:tr>
    </w:tbl>
    <w:p>
      <w:pPr>
        <w:pStyle w:val="Heading3"/>
      </w:pPr>
      <w:r>
        <w:t>9.2 DCF（折現現金流）估值（簡化模型）</w:t>
      </w:r>
    </w:p>
    <w:p>
      <w:pPr/>
      <w:r>
        <w:rPr>
          <w:rFonts w:ascii="Arial" w:hAnsi="Arial"/>
          <w:b/>
          <w:sz w:val="24"/>
        </w:rPr>
        <w:t>假設：</w:t>
      </w:r>
    </w:p>
    <w:p>
      <w:pPr>
        <w:pStyle w:val="ListBullet"/>
      </w:pPr>
      <w:r>
        <w:rPr>
          <w:rFonts w:ascii="Arial" w:hAnsi="Arial"/>
          <w:sz w:val="24"/>
        </w:rPr>
        <w:t>2026年FCF：$31億（+47% YoY）</w:t>
      </w:r>
    </w:p>
    <w:p>
      <w:pPr>
        <w:pStyle w:val="ListBullet"/>
      </w:pPr>
      <w:r>
        <w:rPr>
          <w:rFonts w:ascii="Arial" w:hAnsi="Arial"/>
          <w:sz w:val="24"/>
        </w:rPr>
        <w:t>2027-2030年FCF年均成長率：30%</w:t>
      </w:r>
    </w:p>
    <w:p>
      <w:pPr>
        <w:pStyle w:val="ListBullet"/>
      </w:pPr>
      <w:r>
        <w:rPr>
          <w:rFonts w:ascii="Arial" w:hAnsi="Arial"/>
          <w:sz w:val="24"/>
        </w:rPr>
        <w:t>終端成長率：4%</w:t>
      </w:r>
    </w:p>
    <w:p>
      <w:pPr>
        <w:pStyle w:val="ListBullet"/>
      </w:pPr>
      <w:r>
        <w:rPr>
          <w:rFonts w:ascii="Arial" w:hAnsi="Arial"/>
          <w:sz w:val="24"/>
        </w:rPr>
        <w:t>WACC（加權平均資本成本）：10%</w:t>
      </w:r>
    </w:p>
    <w:p>
      <w:pPr/>
      <w:r>
        <w:rPr>
          <w:rFonts w:ascii="Arial" w:hAnsi="Arial"/>
          <w:b/>
          <w:sz w:val="24"/>
        </w:rPr>
        <w:t>DCF計算結果：</w:t>
      </w:r>
    </w:p>
    <w:p>
      <w:pPr>
        <w:pStyle w:val="ListBullet"/>
      </w:pPr>
      <w:r>
        <w:rPr>
          <w:rFonts w:ascii="Arial" w:hAnsi="Arial"/>
          <w:sz w:val="24"/>
        </w:rPr>
        <w:t xml:space="preserve">公平價值：約 </w:t>
      </w:r>
      <w:r>
        <w:rPr>
          <w:rFonts w:ascii="Arial" w:hAnsi="Arial"/>
          <w:b/>
          <w:sz w:val="24"/>
        </w:rPr>
        <w:t>$90-110/股</w:t>
      </w:r>
    </w:p>
    <w:p>
      <w:pPr>
        <w:pStyle w:val="ListBullet"/>
      </w:pPr>
      <w:r>
        <w:rPr>
          <w:rFonts w:ascii="Arial" w:hAnsi="Arial"/>
          <w:sz w:val="24"/>
        </w:rPr>
        <w:t xml:space="preserve">當前股價$135.38相比公平價值 </w:t>
      </w:r>
      <w:r>
        <w:rPr>
          <w:rFonts w:ascii="Arial" w:hAnsi="Arial"/>
          <w:b/>
          <w:sz w:val="24"/>
        </w:rPr>
        <w:t>溢價23-50%</w:t>
      </w:r>
    </w:p>
    <w:p>
      <w:pPr>
        <w:pStyle w:val="Heading3"/>
      </w:pPr>
      <w:r>
        <w:t>9.3 相對估值法（EV/Sales）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情境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EV/Sales倍數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目標市值（億美元）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目標股價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熊市（同業平均）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10x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$650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$45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中性（考慮成長溢價）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30x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$1,950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$135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牛市（AI領導者溢價）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50x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$3,250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$225</w:t>
            </w:r>
          </w:p>
        </w:tc>
      </w:tr>
    </w:tbl>
    <w:p>
      <w:pPr/>
      <w:r>
        <w:rPr>
          <w:rFonts w:ascii="Arial" w:hAnsi="Arial"/>
          <w:b/>
          <w:sz w:val="24"/>
        </w:rPr>
        <w:t>當前股價$135.38對應約30倍EV/Sales，處於中性偏樂觀區間</w:t>
      </w:r>
    </w:p>
    <w:p>
      <w:r>
        <w:t>__________________________________________________</w:t>
      </w:r>
    </w:p>
    <w:p>
      <w:pPr>
        <w:pStyle w:val="Heading2"/>
      </w:pPr>
      <w:r>
        <w:t>十、投資建議與結論</w:t>
      </w:r>
    </w:p>
    <w:p>
      <w:pPr>
        <w:pStyle w:val="Heading3"/>
      </w:pPr>
      <w:r>
        <w:t>10.1 成長性評估</w:t>
      </w:r>
    </w:p>
    <w:p>
      <w:pPr/>
      <w:r>
        <w:rPr>
          <w:rFonts w:ascii="Arial" w:hAnsi="Arial"/>
          <w:b/>
          <w:sz w:val="24"/>
        </w:rPr>
        <w:t>✅ 2026年成長率能否維持？</w:t>
      </w:r>
    </w:p>
    <w:p>
      <w:pPr>
        <w:pStyle w:val="ListBullet"/>
      </w:pPr>
      <w:r>
        <w:rPr>
          <w:rFonts w:ascii="Arial" w:hAnsi="Arial"/>
          <w:b/>
          <w:sz w:val="24"/>
        </w:rPr>
        <w:t>短期（Q1-Q2 2026）</w:t>
      </w:r>
      <w:r>
        <w:rPr>
          <w:rFonts w:ascii="Arial" w:hAnsi="Arial"/>
          <w:sz w:val="24"/>
        </w:rPr>
        <w:t>：可能放緩至40-50% YoY（基期效應）</w:t>
      </w:r>
    </w:p>
    <w:p>
      <w:pPr>
        <w:pStyle w:val="ListBullet"/>
      </w:pPr>
      <w:r>
        <w:rPr>
          <w:rFonts w:ascii="Arial" w:hAnsi="Arial"/>
          <w:b/>
          <w:sz w:val="24"/>
        </w:rPr>
        <w:t>全年2026</w:t>
      </w:r>
      <w:r>
        <w:rPr>
          <w:rFonts w:ascii="Arial" w:hAnsi="Arial"/>
          <w:sz w:val="24"/>
        </w:rPr>
        <w:t>：預估45-50% YoY成長，營收達$65-68億</w:t>
      </w:r>
    </w:p>
    <w:p>
      <w:pPr>
        <w:pStyle w:val="ListBullet"/>
      </w:pPr>
      <w:r>
        <w:rPr>
          <w:rFonts w:ascii="Arial" w:hAnsi="Arial"/>
          <w:b/>
          <w:sz w:val="24"/>
        </w:rPr>
        <w:t>中期（2027-2028）</w:t>
      </w:r>
      <w:r>
        <w:rPr>
          <w:rFonts w:ascii="Arial" w:hAnsi="Arial"/>
          <w:sz w:val="24"/>
        </w:rPr>
        <w:t>：隨AIP規模化與國際拓展，預期維持35-45%成長</w:t>
      </w:r>
    </w:p>
    <w:p>
      <w:pPr/>
      <w:r>
        <w:rPr>
          <w:rFonts w:ascii="Arial" w:hAnsi="Arial"/>
          <w:b/>
          <w:sz w:val="24"/>
        </w:rPr>
        <w:t>✅ 利潤率能否持續改善？</w:t>
      </w:r>
    </w:p>
    <w:p>
      <w:pPr>
        <w:pStyle w:val="ListBullet"/>
      </w:pPr>
      <w:r>
        <w:rPr>
          <w:rFonts w:ascii="Arial" w:hAnsi="Arial"/>
          <w:b/>
          <w:sz w:val="24"/>
        </w:rPr>
        <w:t>2026年目標</w:t>
      </w:r>
      <w:r>
        <w:rPr>
          <w:rFonts w:ascii="Arial" w:hAnsi="Arial"/>
          <w:sz w:val="24"/>
        </w:rPr>
        <w:t>：GAAP營業利潤率38-42%，淨利率35-40%</w:t>
      </w:r>
    </w:p>
    <w:p>
      <w:pPr>
        <w:pStyle w:val="ListBullet"/>
      </w:pPr>
      <w:r>
        <w:rPr>
          <w:rFonts w:ascii="Arial" w:hAnsi="Arial"/>
          <w:b/>
          <w:sz w:val="24"/>
        </w:rPr>
        <w:t>驅動因素</w:t>
      </w:r>
      <w:r>
        <w:rPr>
          <w:rFonts w:ascii="Arial" w:hAnsi="Arial"/>
          <w:sz w:val="24"/>
        </w:rPr>
        <w:t>：營運槓桿、SBC費用控制、大客戶合約規模提升</w:t>
      </w:r>
    </w:p>
    <w:p>
      <w:pPr>
        <w:pStyle w:val="ListBullet"/>
      </w:pPr>
      <w:r>
        <w:rPr>
          <w:rFonts w:ascii="Arial" w:hAnsi="Arial"/>
          <w:b/>
          <w:sz w:val="24"/>
        </w:rPr>
        <w:t>風險</w:t>
      </w:r>
      <w:r>
        <w:rPr>
          <w:rFonts w:ascii="Arial" w:hAnsi="Arial"/>
          <w:sz w:val="24"/>
        </w:rPr>
        <w:t>：若積極搶市場（增加S&amp;M投入），利潤率可能暫時回調</w:t>
      </w:r>
    </w:p>
    <w:p>
      <w:pPr/>
      <w:r>
        <w:rPr>
          <w:rFonts w:ascii="Arial" w:hAnsi="Arial"/>
          <w:b/>
          <w:sz w:val="24"/>
        </w:rPr>
        <w:t>✅ 2027年後方向？</w:t>
      </w:r>
    </w:p>
    <w:p>
      <w:pPr>
        <w:pStyle w:val="ListBullet"/>
      </w:pPr>
      <w:r>
        <w:rPr>
          <w:rFonts w:ascii="Arial" w:hAnsi="Arial"/>
          <w:b/>
          <w:sz w:val="24"/>
        </w:rPr>
        <w:t>核心戰略</w:t>
      </w:r>
      <w:r>
        <w:rPr>
          <w:rFonts w:ascii="Arial" w:hAnsi="Arial"/>
          <w:sz w:val="24"/>
        </w:rPr>
        <w:t>：從「賣軟體」轉向「AI作業系統平台」</w:t>
      </w:r>
    </w:p>
    <w:p>
      <w:pPr>
        <w:pStyle w:val="ListBullet"/>
      </w:pPr>
      <w:r>
        <w:rPr>
          <w:rFonts w:ascii="Arial" w:hAnsi="Arial"/>
          <w:b/>
          <w:sz w:val="24"/>
        </w:rPr>
        <w:t>新業務模式</w:t>
      </w:r>
      <w:r>
        <w:rPr>
          <w:rFonts w:ascii="Arial" w:hAnsi="Arial"/>
          <w:sz w:val="24"/>
        </w:rPr>
        <w:t>：生態系建立（合作夥伴應用市場）、數據市場、垂直整合</w:t>
      </w:r>
    </w:p>
    <w:p>
      <w:pPr>
        <w:pStyle w:val="ListBullet"/>
      </w:pPr>
      <w:r>
        <w:rPr>
          <w:rFonts w:ascii="Arial" w:hAnsi="Arial"/>
          <w:b/>
          <w:sz w:val="24"/>
        </w:rPr>
        <w:t>長期願景</w:t>
      </w:r>
      <w:r>
        <w:rPr>
          <w:rFonts w:ascii="Arial" w:hAnsi="Arial"/>
          <w:sz w:val="24"/>
        </w:rPr>
        <w:t>：成為企業與政府的「數位神經系統」，類似Windows在PC時代的地位</w:t>
      </w:r>
    </w:p>
    <w:p>
      <w:pPr>
        <w:pStyle w:val="Heading3"/>
      </w:pPr>
      <w:r>
        <w:t>10.2 投資評級與目標價</w:t>
      </w:r>
    </w:p>
    <w:p>
      <w:pPr/>
      <w:r>
        <w:rPr>
          <w:rFonts w:ascii="Arial" w:hAnsi="Arial"/>
          <w:b/>
          <w:sz w:val="24"/>
        </w:rPr>
        <w:t>評級：增持（Overweight）</w:t>
      </w:r>
    </w:p>
    <w:p>
      <w:pPr/>
      <w:r>
        <w:rPr>
          <w:rFonts w:ascii="Arial" w:hAnsi="Arial"/>
          <w:b/>
          <w:sz w:val="24"/>
        </w:rPr>
        <w:t>目標價區間（12個月）：</w:t>
      </w:r>
    </w:p>
    <w:p>
      <w:pPr>
        <w:pStyle w:val="ListBullet"/>
      </w:pPr>
      <w:r>
        <w:rPr>
          <w:rFonts w:ascii="Arial" w:hAnsi="Arial"/>
          <w:b/>
          <w:sz w:val="24"/>
        </w:rPr>
        <w:t>熊市情境（機率20%）</w:t>
      </w:r>
      <w:r>
        <w:rPr>
          <w:rFonts w:ascii="Arial" w:hAnsi="Arial"/>
          <w:sz w:val="24"/>
        </w:rPr>
        <w:t>：$90-110（基於DCF公平價值）</w:t>
      </w:r>
    </w:p>
    <w:p>
      <w:pPr>
        <w:pStyle w:val="ListBullet"/>
      </w:pPr>
      <w:r>
        <w:rPr>
          <w:rFonts w:ascii="Arial" w:hAnsi="Arial"/>
          <w:b/>
          <w:sz w:val="24"/>
        </w:rPr>
        <w:t>中性情境（機率50%）</w:t>
      </w:r>
      <w:r>
        <w:rPr>
          <w:rFonts w:ascii="Arial" w:hAnsi="Arial"/>
          <w:sz w:val="24"/>
        </w:rPr>
        <w:t>：$150-180（維持成長溢價）</w:t>
      </w:r>
    </w:p>
    <w:p>
      <w:pPr>
        <w:pStyle w:val="ListBullet"/>
      </w:pPr>
      <w:r>
        <w:rPr>
          <w:rFonts w:ascii="Arial" w:hAnsi="Arial"/>
          <w:b/>
          <w:sz w:val="24"/>
        </w:rPr>
        <w:t>牛市情境（機率30%）</w:t>
      </w:r>
      <w:r>
        <w:rPr>
          <w:rFonts w:ascii="Arial" w:hAnsi="Arial"/>
          <w:sz w:val="24"/>
        </w:rPr>
        <w:t>：$220-260（AIP成為行業標準）</w:t>
      </w:r>
    </w:p>
    <w:p>
      <w:pPr/>
      <w:r>
        <w:rPr>
          <w:rFonts w:ascii="Arial" w:hAnsi="Arial"/>
          <w:b/>
          <w:sz w:val="24"/>
        </w:rPr>
        <w:t>加權平均目標價：$165（+21.9%上漲空間）</w:t>
      </w:r>
    </w:p>
    <w:p>
      <w:pPr>
        <w:pStyle w:val="Heading3"/>
      </w:pPr>
      <w:r>
        <w:t>10.3 適合投資者類型</w:t>
      </w:r>
    </w:p>
    <w:p>
      <w:pPr/>
      <w:r>
        <w:rPr>
          <w:rFonts w:ascii="Arial" w:hAnsi="Arial"/>
          <w:b/>
          <w:sz w:val="24"/>
        </w:rPr>
        <w:t>✅ 適合：</w:t>
      </w:r>
    </w:p>
    <w:p>
      <w:pPr>
        <w:pStyle w:val="ListNumber"/>
      </w:pPr>
      <w:r>
        <w:rPr>
          <w:rFonts w:ascii="Arial" w:hAnsi="Arial"/>
          <w:b/>
          <w:sz w:val="24"/>
        </w:rPr>
        <w:t>成長型投資者</w:t>
      </w:r>
      <w:r>
        <w:rPr>
          <w:rFonts w:ascii="Arial" w:hAnsi="Arial"/>
          <w:sz w:val="24"/>
        </w:rPr>
        <w:t>：看好AI革命與企業數位轉型長期趨勢</w:t>
      </w:r>
    </w:p>
    <w:p>
      <w:pPr>
        <w:pStyle w:val="ListNumber"/>
      </w:pPr>
      <w:r>
        <w:rPr>
          <w:rFonts w:ascii="Arial" w:hAnsi="Arial"/>
          <w:b/>
          <w:sz w:val="24"/>
        </w:rPr>
        <w:t>科技主題投資者</w:t>
      </w:r>
      <w:r>
        <w:rPr>
          <w:rFonts w:ascii="Arial" w:hAnsi="Arial"/>
          <w:sz w:val="24"/>
        </w:rPr>
        <w:t>：願意承受高估值波動，換取爆發性成長機會</w:t>
      </w:r>
    </w:p>
    <w:p>
      <w:pPr>
        <w:pStyle w:val="ListNumber"/>
      </w:pPr>
      <w:r>
        <w:rPr>
          <w:rFonts w:ascii="Arial" w:hAnsi="Arial"/>
          <w:b/>
          <w:sz w:val="24"/>
        </w:rPr>
        <w:t>長期持有者</w:t>
      </w:r>
      <w:r>
        <w:rPr>
          <w:rFonts w:ascii="Arial" w:hAnsi="Arial"/>
          <w:sz w:val="24"/>
        </w:rPr>
        <w:t>：相信Palantir平台效應與護城河，持有3-5年</w:t>
      </w:r>
    </w:p>
    <w:p>
      <w:pPr/>
      <w:r>
        <w:rPr>
          <w:rFonts w:ascii="Arial" w:hAnsi="Arial"/>
          <w:b/>
          <w:sz w:val="24"/>
        </w:rPr>
        <w:t>❌ 不適合：</w:t>
      </w:r>
    </w:p>
    <w:p>
      <w:pPr>
        <w:pStyle w:val="ListNumber"/>
      </w:pPr>
      <w:r>
        <w:rPr>
          <w:rFonts w:ascii="Arial" w:hAnsi="Arial"/>
          <w:b/>
          <w:sz w:val="24"/>
        </w:rPr>
        <w:t>價值型投資者</w:t>
      </w:r>
      <w:r>
        <w:rPr>
          <w:rFonts w:ascii="Arial" w:hAnsi="Arial"/>
          <w:sz w:val="24"/>
        </w:rPr>
        <w:t>：當前估值（P/E 214倍、P/S 77倍）遠超價值投資範疇</w:t>
      </w:r>
    </w:p>
    <w:p>
      <w:pPr>
        <w:pStyle w:val="ListNumber"/>
      </w:pPr>
      <w:r>
        <w:rPr>
          <w:rFonts w:ascii="Arial" w:hAnsi="Arial"/>
          <w:b/>
          <w:sz w:val="24"/>
        </w:rPr>
        <w:t>短期交易者</w:t>
      </w:r>
      <w:r>
        <w:rPr>
          <w:rFonts w:ascii="Arial" w:hAnsi="Arial"/>
          <w:sz w:val="24"/>
        </w:rPr>
        <w:t>：股價波動劇烈（Beta 1.69），過去一年區間$66-$207</w:t>
      </w:r>
    </w:p>
    <w:p>
      <w:pPr>
        <w:pStyle w:val="ListNumber"/>
      </w:pPr>
      <w:r>
        <w:rPr>
          <w:rFonts w:ascii="Arial" w:hAnsi="Arial"/>
          <w:b/>
          <w:sz w:val="24"/>
        </w:rPr>
        <w:t>穩健收益型</w:t>
      </w:r>
      <w:r>
        <w:rPr>
          <w:rFonts w:ascii="Arial" w:hAnsi="Arial"/>
          <w:sz w:val="24"/>
        </w:rPr>
        <w:t>：無股息政策、高波動性</w:t>
      </w:r>
    </w:p>
    <w:p>
      <w:pPr>
        <w:pStyle w:val="Heading3"/>
      </w:pPr>
      <w:r>
        <w:t>10.4 持倉策略建議</w:t>
      </w:r>
    </w:p>
    <w:p>
      <w:pPr>
        <w:pStyle w:val="ListNumber"/>
      </w:pPr>
      <w:r>
        <w:rPr>
          <w:rFonts w:ascii="Arial" w:hAnsi="Arial"/>
          <w:b/>
          <w:sz w:val="24"/>
        </w:rPr>
        <w:t>核心倉位（5-10%投資組合）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適合長期看好AI與國防科技趨勢的投資者</w:t>
      </w:r>
    </w:p>
    <w:p>
      <w:pPr/>
      <w:r>
        <w:rPr>
          <w:rFonts w:ascii="Arial" w:hAnsi="Arial"/>
          <w:sz w:val="24"/>
        </w:rPr>
        <w:t xml:space="preserve">   - 建議分批建倉（避免單點高位接盤）</w:t>
      </w:r>
    </w:p>
    <w:p>
      <w:pPr>
        <w:pStyle w:val="ListNumber"/>
      </w:pPr>
      <w:r>
        <w:rPr>
          <w:rFonts w:ascii="Arial" w:hAnsi="Arial"/>
          <w:b/>
          <w:sz w:val="24"/>
        </w:rPr>
        <w:t>衛星倉位（2-5%投資組合）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短期交易：關注財報季（5月、8月、11月）波動機會</w:t>
      </w:r>
    </w:p>
    <w:p>
      <w:pPr/>
      <w:r>
        <w:rPr>
          <w:rFonts w:ascii="Arial" w:hAnsi="Arial"/>
          <w:sz w:val="24"/>
        </w:rPr>
        <w:t xml:space="preserve">   - 止損策略：若跌破$110（DCF公平價值下限），考慮減倉</w:t>
      </w:r>
    </w:p>
    <w:p>
      <w:pPr>
        <w:pStyle w:val="ListNumber"/>
      </w:pPr>
      <w:r>
        <w:rPr>
          <w:rFonts w:ascii="Arial" w:hAnsi="Arial"/>
          <w:b/>
          <w:sz w:val="24"/>
        </w:rPr>
        <w:t>觀望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- 若當前無持倉，建議等待回調至$110-120區間再考慮建倉</w:t>
      </w:r>
    </w:p>
    <w:p>
      <w:pPr/>
      <w:r>
        <w:rPr>
          <w:rFonts w:ascii="Arial" w:hAnsi="Arial"/>
          <w:sz w:val="24"/>
        </w:rPr>
        <w:t xml:space="preserve">   - 關注2026年Q1財報（5月初），若成長放緩可能引發調整</w:t>
      </w:r>
    </w:p>
    <w:p>
      <w:r>
        <w:t>__________________________________________________</w:t>
      </w:r>
    </w:p>
    <w:p>
      <w:pPr>
        <w:pStyle w:val="Heading2"/>
      </w:pPr>
      <w:r>
        <w:t>十一、關鍵監控指標（KPIs）</w:t>
      </w:r>
    </w:p>
    <w:p>
      <w:pPr/>
      <w:r>
        <w:rPr>
          <w:rFonts w:ascii="Arial" w:hAnsi="Arial"/>
          <w:sz w:val="24"/>
        </w:rPr>
        <w:t>投資者應持續追蹤以下指標：</w:t>
      </w:r>
    </w:p>
    <w:p>
      <w:pPr>
        <w:pStyle w:val="Heading3"/>
      </w:pPr>
      <w:r>
        <w:t>11.1 成長指標</w:t>
      </w:r>
    </w:p>
    <w:p>
      <w:pPr>
        <w:pStyle w:val="ListBullet"/>
      </w:pPr>
      <w:r>
        <w:rPr>
          <w:rFonts w:ascii="Arial" w:hAnsi="Arial"/>
          <w:sz w:val="24"/>
        </w:rPr>
        <w:t xml:space="preserve">[ ] </w:t>
      </w:r>
      <w:r>
        <w:rPr>
          <w:rFonts w:ascii="Arial" w:hAnsi="Arial"/>
          <w:b/>
          <w:sz w:val="24"/>
        </w:rPr>
        <w:t>季度營收YoY成長率</w:t>
      </w:r>
      <w:r>
        <w:rPr>
          <w:rFonts w:ascii="Arial" w:hAnsi="Arial"/>
          <w:sz w:val="24"/>
        </w:rPr>
        <w:t>（目標：&gt;40%）</w:t>
      </w:r>
    </w:p>
    <w:p>
      <w:pPr>
        <w:pStyle w:val="ListBullet"/>
      </w:pPr>
      <w:r>
        <w:rPr>
          <w:rFonts w:ascii="Arial" w:hAnsi="Arial"/>
          <w:sz w:val="24"/>
        </w:rPr>
        <w:t xml:space="preserve">[ ] </w:t>
      </w:r>
      <w:r>
        <w:rPr>
          <w:rFonts w:ascii="Arial" w:hAnsi="Arial"/>
          <w:b/>
          <w:sz w:val="24"/>
        </w:rPr>
        <w:t>商業部門YoY成長率</w:t>
      </w:r>
      <w:r>
        <w:rPr>
          <w:rFonts w:ascii="Arial" w:hAnsi="Arial"/>
          <w:sz w:val="24"/>
        </w:rPr>
        <w:t>（目標：&gt;50%）</w:t>
      </w:r>
    </w:p>
    <w:p>
      <w:pPr>
        <w:pStyle w:val="ListBullet"/>
      </w:pPr>
      <w:r>
        <w:rPr>
          <w:rFonts w:ascii="Arial" w:hAnsi="Arial"/>
          <w:sz w:val="24"/>
        </w:rPr>
        <w:t xml:space="preserve">[ ] </w:t>
      </w:r>
      <w:r>
        <w:rPr>
          <w:rFonts w:ascii="Arial" w:hAnsi="Arial"/>
          <w:b/>
          <w:sz w:val="24"/>
        </w:rPr>
        <w:t>美國市場YoY成長率</w:t>
      </w:r>
      <w:r>
        <w:rPr>
          <w:rFonts w:ascii="Arial" w:hAnsi="Arial"/>
          <w:sz w:val="24"/>
        </w:rPr>
        <w:t>（目標：&gt;60%）</w:t>
      </w:r>
    </w:p>
    <w:p>
      <w:pPr>
        <w:pStyle w:val="ListBullet"/>
      </w:pPr>
      <w:r>
        <w:rPr>
          <w:rFonts w:ascii="Arial" w:hAnsi="Arial"/>
          <w:sz w:val="24"/>
        </w:rPr>
        <w:t xml:space="preserve">[ ] </w:t>
      </w:r>
      <w:r>
        <w:rPr>
          <w:rFonts w:ascii="Arial" w:hAnsi="Arial"/>
          <w:b/>
          <w:sz w:val="24"/>
        </w:rPr>
        <w:t>AIP客戶數增長</w:t>
      </w:r>
      <w:r>
        <w:rPr>
          <w:rFonts w:ascii="Arial" w:hAnsi="Arial"/>
          <w:sz w:val="24"/>
        </w:rPr>
        <w:t>（目標：季增&gt;50家）</w:t>
      </w:r>
    </w:p>
    <w:p>
      <w:pPr>
        <w:pStyle w:val="Heading3"/>
      </w:pPr>
      <w:r>
        <w:t>11.2 獲利能力指標</w:t>
      </w:r>
    </w:p>
    <w:p>
      <w:pPr>
        <w:pStyle w:val="ListBullet"/>
      </w:pPr>
      <w:r>
        <w:rPr>
          <w:rFonts w:ascii="Arial" w:hAnsi="Arial"/>
          <w:sz w:val="24"/>
        </w:rPr>
        <w:t xml:space="preserve">[ ] </w:t>
      </w:r>
      <w:r>
        <w:rPr>
          <w:rFonts w:ascii="Arial" w:hAnsi="Arial"/>
          <w:b/>
          <w:sz w:val="24"/>
        </w:rPr>
        <w:t>GAAP營業利潤率</w:t>
      </w:r>
      <w:r>
        <w:rPr>
          <w:rFonts w:ascii="Arial" w:hAnsi="Arial"/>
          <w:sz w:val="24"/>
        </w:rPr>
        <w:t>（目標：&gt;38%）</w:t>
      </w:r>
    </w:p>
    <w:p>
      <w:pPr>
        <w:pStyle w:val="ListBullet"/>
      </w:pPr>
      <w:r>
        <w:rPr>
          <w:rFonts w:ascii="Arial" w:hAnsi="Arial"/>
          <w:sz w:val="24"/>
        </w:rPr>
        <w:t xml:space="preserve">[ ] </w:t>
      </w:r>
      <w:r>
        <w:rPr>
          <w:rFonts w:ascii="Arial" w:hAnsi="Arial"/>
          <w:b/>
          <w:sz w:val="24"/>
        </w:rPr>
        <w:t>GAAP淨利率</w:t>
      </w:r>
      <w:r>
        <w:rPr>
          <w:rFonts w:ascii="Arial" w:hAnsi="Arial"/>
          <w:sz w:val="24"/>
        </w:rPr>
        <w:t>（目標：&gt;35%）</w:t>
      </w:r>
    </w:p>
    <w:p>
      <w:pPr>
        <w:pStyle w:val="ListBullet"/>
      </w:pPr>
      <w:r>
        <w:rPr>
          <w:rFonts w:ascii="Arial" w:hAnsi="Arial"/>
          <w:sz w:val="24"/>
        </w:rPr>
        <w:t xml:space="preserve">[ ] </w:t>
      </w:r>
      <w:r>
        <w:rPr>
          <w:rFonts w:ascii="Arial" w:hAnsi="Arial"/>
          <w:b/>
          <w:sz w:val="24"/>
        </w:rPr>
        <w:t>SBC/營收比</w:t>
      </w:r>
      <w:r>
        <w:rPr>
          <w:rFonts w:ascii="Arial" w:hAnsi="Arial"/>
          <w:sz w:val="24"/>
        </w:rPr>
        <w:t>（目標：&lt;16%）</w:t>
      </w:r>
    </w:p>
    <w:p>
      <w:pPr>
        <w:pStyle w:val="ListBullet"/>
      </w:pPr>
      <w:r>
        <w:rPr>
          <w:rFonts w:ascii="Arial" w:hAnsi="Arial"/>
          <w:sz w:val="24"/>
        </w:rPr>
        <w:t xml:space="preserve">[ ] </w:t>
      </w:r>
      <w:r>
        <w:rPr>
          <w:rFonts w:ascii="Arial" w:hAnsi="Arial"/>
          <w:b/>
          <w:sz w:val="24"/>
        </w:rPr>
        <w:t>FCF利潤率</w:t>
      </w:r>
      <w:r>
        <w:rPr>
          <w:rFonts w:ascii="Arial" w:hAnsi="Arial"/>
          <w:sz w:val="24"/>
        </w:rPr>
        <w:t>（目標：&gt;45%）</w:t>
      </w:r>
    </w:p>
    <w:p>
      <w:pPr>
        <w:pStyle w:val="Heading3"/>
      </w:pPr>
      <w:r>
        <w:t>11.3 客戶健康度</w:t>
      </w:r>
    </w:p>
    <w:p>
      <w:pPr>
        <w:pStyle w:val="ListBullet"/>
      </w:pPr>
      <w:r>
        <w:rPr>
          <w:rFonts w:ascii="Arial" w:hAnsi="Arial"/>
          <w:sz w:val="24"/>
        </w:rPr>
        <w:t xml:space="preserve">[ ] </w:t>
      </w:r>
      <w:r>
        <w:rPr>
          <w:rFonts w:ascii="Arial" w:hAnsi="Arial"/>
          <w:b/>
          <w:sz w:val="24"/>
        </w:rPr>
        <w:t>淨收入留存率（NRR）</w:t>
      </w:r>
      <w:r>
        <w:rPr>
          <w:rFonts w:ascii="Arial" w:hAnsi="Arial"/>
          <w:sz w:val="24"/>
        </w:rPr>
        <w:t>（目標：&gt;120%）</w:t>
      </w:r>
    </w:p>
    <w:p>
      <w:pPr>
        <w:pStyle w:val="ListBullet"/>
      </w:pPr>
      <w:r>
        <w:rPr>
          <w:rFonts w:ascii="Arial" w:hAnsi="Arial"/>
          <w:sz w:val="24"/>
        </w:rPr>
        <w:t xml:space="preserve">[ ] </w:t>
      </w:r>
      <w:r>
        <w:rPr>
          <w:rFonts w:ascii="Arial" w:hAnsi="Arial"/>
          <w:b/>
          <w:sz w:val="24"/>
        </w:rPr>
        <w:t>客戶流失率（Churn Rate）</w:t>
      </w:r>
      <w:r>
        <w:rPr>
          <w:rFonts w:ascii="Arial" w:hAnsi="Arial"/>
          <w:sz w:val="24"/>
        </w:rPr>
        <w:t>（目標：&lt;5%）</w:t>
      </w:r>
    </w:p>
    <w:p>
      <w:pPr>
        <w:pStyle w:val="ListBullet"/>
      </w:pPr>
      <w:r>
        <w:rPr>
          <w:rFonts w:ascii="Arial" w:hAnsi="Arial"/>
          <w:sz w:val="24"/>
        </w:rPr>
        <w:t xml:space="preserve">[ ] </w:t>
      </w:r>
      <w:r>
        <w:rPr>
          <w:rFonts w:ascii="Arial" w:hAnsi="Arial"/>
          <w:b/>
          <w:sz w:val="24"/>
        </w:rPr>
        <w:t>平均合約金額（ACV）</w:t>
      </w:r>
      <w:r>
        <w:rPr>
          <w:rFonts w:ascii="Arial" w:hAnsi="Arial"/>
          <w:sz w:val="24"/>
        </w:rPr>
        <w:t>（目標：持續提升）</w:t>
      </w:r>
    </w:p>
    <w:p>
      <w:pPr>
        <w:pStyle w:val="Heading3"/>
      </w:pPr>
      <w:r>
        <w:t>11.4 市場情緒</w:t>
      </w:r>
    </w:p>
    <w:p>
      <w:pPr>
        <w:pStyle w:val="ListBullet"/>
      </w:pPr>
      <w:r>
        <w:rPr>
          <w:rFonts w:ascii="Arial" w:hAnsi="Arial"/>
          <w:sz w:val="24"/>
        </w:rPr>
        <w:t xml:space="preserve">[ ] </w:t>
      </w:r>
      <w:r>
        <w:rPr>
          <w:rFonts w:ascii="Arial" w:hAnsi="Arial"/>
          <w:b/>
          <w:sz w:val="24"/>
        </w:rPr>
        <w:t>分析師評級變化</w:t>
      </w:r>
      <w:r>
        <w:rPr>
          <w:rFonts w:ascii="Arial" w:hAnsi="Arial"/>
          <w:sz w:val="24"/>
        </w:rPr>
        <w:t>（升級 vs. 降級）</w:t>
      </w:r>
    </w:p>
    <w:p>
      <w:pPr>
        <w:pStyle w:val="ListBullet"/>
      </w:pPr>
      <w:r>
        <w:rPr>
          <w:rFonts w:ascii="Arial" w:hAnsi="Arial"/>
          <w:sz w:val="24"/>
        </w:rPr>
        <w:t xml:space="preserve">[ ] </w:t>
      </w:r>
      <w:r>
        <w:rPr>
          <w:rFonts w:ascii="Arial" w:hAnsi="Arial"/>
          <w:b/>
          <w:sz w:val="24"/>
        </w:rPr>
        <w:t>空頭比例（Short Interest）</w:t>
      </w:r>
      <w:r>
        <w:rPr>
          <w:rFonts w:ascii="Arial" w:hAnsi="Arial"/>
          <w:sz w:val="24"/>
        </w:rPr>
        <w:t>（當前約8-10%）</w:t>
      </w:r>
    </w:p>
    <w:p>
      <w:pPr>
        <w:pStyle w:val="ListBullet"/>
      </w:pPr>
      <w:r>
        <w:rPr>
          <w:rFonts w:ascii="Arial" w:hAnsi="Arial"/>
          <w:sz w:val="24"/>
        </w:rPr>
        <w:t xml:space="preserve">[ ] </w:t>
      </w:r>
      <w:r>
        <w:rPr>
          <w:rFonts w:ascii="Arial" w:hAnsi="Arial"/>
          <w:b/>
          <w:sz w:val="24"/>
        </w:rPr>
        <w:t>機構持倉變化</w:t>
      </w:r>
      <w:r>
        <w:rPr>
          <w:rFonts w:ascii="Arial" w:hAnsi="Arial"/>
          <w:sz w:val="24"/>
        </w:rPr>
        <w:t>（13F季度披露）</w:t>
      </w:r>
    </w:p>
    <w:p>
      <w:r>
        <w:t>__________________________________________________</w:t>
      </w:r>
    </w:p>
    <w:p>
      <w:pPr>
        <w:pStyle w:val="Heading2"/>
      </w:pPr>
      <w:r>
        <w:t>十二、附錄：財務數據摘要</w:t>
      </w:r>
    </w:p>
    <w:p>
      <w:pPr>
        <w:pStyle w:val="Heading3"/>
      </w:pPr>
      <w:r>
        <w:t>A. 損益表（2021-2025，百萬美元）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項目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2021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2022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2023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2024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2025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營收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1,542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1,906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2,225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2,866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4,475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營業成本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339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409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431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566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789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毛利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1,202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1,497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1,794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2,300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3,686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R&amp;D費用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387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360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405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508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558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S&amp;M費用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615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703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745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888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1,057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G&amp;A費用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612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596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524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593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658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營業費用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1,614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1,659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1,674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1,989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2,272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**營業利潤**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**-411**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**-161**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**120**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**310**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**1,414**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利息收入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129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197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229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稅前利潤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-488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-361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237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489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1,657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所得稅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23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**淨利**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**-520**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**-374**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**210**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**462**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**1,625**</w:t>
            </w:r>
          </w:p>
        </w:tc>
      </w:tr>
    </w:tbl>
    <w:p>
      <w:pPr>
        <w:pStyle w:val="Heading3"/>
      </w:pPr>
      <w:r>
        <w:t>B. 資產負債表（2025年底，百萬美元）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資產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金額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負債與權益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金額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現金及約當現金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1,424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應付款項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短期投資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5,753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應計費用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應收帳款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1,042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短期租賃負債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46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其他流動資產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139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遞延收入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409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**流動資產**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**8,358**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其他流動負債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713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固定資產淨值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252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**流動負債**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**1,176**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其他非流動資產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290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長期租賃負債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183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**總資產**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**8,900**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遞延收入（非流動）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46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其他非流動負債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-176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**總負債**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**1,412**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股東權益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7,387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少數股東權益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101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**總權益**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**7,488**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**負債與權益總計**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**8,900**</w:t>
            </w:r>
          </w:p>
        </w:tc>
      </w:tr>
    </w:tbl>
    <w:p>
      <w:r>
        <w:t>__________________________________________________</w:t>
      </w:r>
    </w:p>
    <w:p>
      <w:pPr/>
      <w:r>
        <w:rPr>
          <w:rFonts w:ascii="Arial" w:hAnsi="Arial"/>
          <w:b/>
          <w:sz w:val="24"/>
        </w:rPr>
        <w:t>報告總結：</w:t>
      </w:r>
    </w:p>
    <w:p>
      <w:pPr/>
      <w:r>
        <w:rPr>
          <w:rFonts w:ascii="Arial" w:hAnsi="Arial"/>
          <w:sz w:val="24"/>
        </w:rPr>
        <w:t>Palantir在2025年交出了令人驚艷的成績單：營收成長56%、營業利潤率突破31%、自由現金流達$21億美元。公司正處於「從虧損到大規模獲利」的轉型黃金期，AIP平台的商業化進展超出市場預期。</w:t>
      </w:r>
    </w:p>
    <w:p>
      <w:pPr/>
      <w:r>
        <w:rPr>
          <w:rFonts w:ascii="Arial" w:hAnsi="Arial"/>
          <w:sz w:val="24"/>
        </w:rPr>
        <w:t>然而，當前估值（P/E 214倍、P/S 77倍）已充分反映樂觀預期，短期回調風險不容忽視。2026年能否維持50%+成長、利潤率能否持續提升，將是股價能否突破$200的關鍵。</w:t>
      </w:r>
    </w:p>
    <w:p>
      <w:pPr/>
      <w:r>
        <w:rPr>
          <w:rFonts w:ascii="Arial" w:hAnsi="Arial"/>
          <w:sz w:val="24"/>
        </w:rPr>
        <w:t>長期而言，Palantir有機會成為AI時代的「企業作業系統」，但競爭、技術變遷與估值消化仍是投資者需持續關注的風險。</w:t>
      </w:r>
      <w:r>
        <w:rPr>
          <w:rFonts w:ascii="Arial" w:hAnsi="Arial"/>
          <w:b/>
          <w:sz w:val="24"/>
        </w:rPr>
        <w:t>建議分批建倉、長期持有，並嚴格執行風險管理。</w:t>
      </w:r>
    </w:p>
    <w:p>
      <w:r>
        <w:t>__________________________________________________</w:t>
      </w:r>
    </w:p>
    <w:p>
      <w:pPr/>
      <w:r>
        <w:rPr>
          <w:rFonts w:ascii="Arial" w:hAnsi="Arial"/>
          <w:b/>
          <w:sz w:val="24"/>
        </w:rPr>
        <w:t>免責聲明：</w:t>
      </w:r>
      <w:r>
        <w:rPr>
          <w:rFonts w:ascii="Arial" w:hAnsi="Arial"/>
          <w:sz w:val="24"/>
        </w:rPr>
        <w:t xml:space="preserve"> 本報告僅供研究參考，不構成投資建議。投資者應根據自身風險承受能力與投資目標，審慎決策。</w:t>
      </w:r>
    </w:p>
    <w:p>
      <w:r>
        <w:t>__________________________________________________</w:t>
      </w:r>
    </w:p>
    <w:p>
      <w:pPr>
        <w:pStyle w:val="Heading2"/>
      </w:pPr>
      <w:r>
        <w:t>十三、競爭對手比較（2026補充）</w:t>
      </w:r>
    </w:p>
    <w:p>
      <w:pPr>
        <w:pStyle w:val="Heading3"/>
      </w:pPr>
      <w:r>
        <w:t>PLTR vs Databricks / Snowflake / Microsoft Azure AI</w:t>
      </w:r>
    </w:p>
    <w:p>
      <w:pPr>
        <w:pStyle w:val="ListBullet"/>
      </w:pPr>
      <w:r>
        <w:rPr>
          <w:rFonts w:ascii="Arial" w:hAnsi="Arial"/>
          <w:b/>
          <w:sz w:val="24"/>
        </w:rPr>
        <w:t>Databricks：</w:t>
      </w:r>
      <w:r>
        <w:rPr>
          <w:rFonts w:ascii="Arial" w:hAnsi="Arial"/>
          <w:sz w:val="24"/>
        </w:rPr>
        <w:t xml:space="preserve"> 強在 Lakehouse 與資料科學工作流，開源社群友善。</w:t>
      </w:r>
    </w:p>
    <w:p>
      <w:pPr>
        <w:pStyle w:val="ListBullet"/>
      </w:pPr>
      <w:r>
        <w:rPr>
          <w:rFonts w:ascii="Arial" w:hAnsi="Arial"/>
          <w:b/>
          <w:sz w:val="24"/>
        </w:rPr>
        <w:t>Snowflake：</w:t>
      </w:r>
      <w:r>
        <w:rPr>
          <w:rFonts w:ascii="Arial" w:hAnsi="Arial"/>
          <w:sz w:val="24"/>
        </w:rPr>
        <w:t xml:space="preserve"> 強在雲端數據倉儲與資料共享，企業導入門檻低。</w:t>
      </w:r>
    </w:p>
    <w:p>
      <w:pPr>
        <w:pStyle w:val="ListBullet"/>
      </w:pPr>
      <w:r>
        <w:rPr>
          <w:rFonts w:ascii="Arial" w:hAnsi="Arial"/>
          <w:b/>
          <w:sz w:val="24"/>
        </w:rPr>
        <w:t>Azure AI：</w:t>
      </w:r>
      <w:r>
        <w:rPr>
          <w:rFonts w:ascii="Arial" w:hAnsi="Arial"/>
          <w:sz w:val="24"/>
        </w:rPr>
        <w:t xml:space="preserve"> 強在既有企業客戶與 Office 生態整合。</w:t>
      </w:r>
    </w:p>
    <w:p>
      <w:pPr>
        <w:pStyle w:val="ListBullet"/>
      </w:pPr>
      <w:r>
        <w:rPr>
          <w:rFonts w:ascii="Arial" w:hAnsi="Arial"/>
          <w:b/>
          <w:sz w:val="24"/>
        </w:rPr>
        <w:t>PLTR：</w:t>
      </w:r>
      <w:r>
        <w:rPr>
          <w:rFonts w:ascii="Arial" w:hAnsi="Arial"/>
          <w:sz w:val="24"/>
        </w:rPr>
        <w:t xml:space="preserve"> 強在國防級安全認證（FedRAMP High/IL6）與端到端決策平台。</w:t>
      </w:r>
    </w:p>
    <w:p>
      <w:pPr>
        <w:pStyle w:val="Heading3"/>
      </w:pPr>
      <w:r>
        <w:t>2026 差異化與勝負</w:t>
      </w:r>
    </w:p>
    <w:p>
      <w:pPr>
        <w:pStyle w:val="ListBullet"/>
      </w:pPr>
      <w:r>
        <w:rPr>
          <w:rFonts w:ascii="Arial" w:hAnsi="Arial"/>
          <w:b/>
          <w:sz w:val="24"/>
        </w:rPr>
        <w:t>商業滲透速度：</w:t>
      </w:r>
      <w:r>
        <w:rPr>
          <w:rFonts w:ascii="Arial" w:hAnsi="Arial"/>
          <w:sz w:val="24"/>
        </w:rPr>
        <w:t xml:space="preserve"> Azure &gt; PLTR ≈ Databricks &gt; Snowflake（AI應用層）</w:t>
      </w:r>
    </w:p>
    <w:p>
      <w:pPr>
        <w:pStyle w:val="ListBullet"/>
      </w:pPr>
      <w:r>
        <w:rPr>
          <w:rFonts w:ascii="Arial" w:hAnsi="Arial"/>
          <w:b/>
          <w:sz w:val="24"/>
        </w:rPr>
        <w:t>政府/國防壁壘：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PLTR 明顯領先</w:t>
      </w:r>
    </w:p>
    <w:p>
      <w:pPr>
        <w:pStyle w:val="ListBullet"/>
      </w:pPr>
      <w:r>
        <w:rPr>
          <w:rFonts w:ascii="Arial" w:hAnsi="Arial"/>
          <w:b/>
          <w:sz w:val="24"/>
        </w:rPr>
        <w:t>結論：</w:t>
      </w:r>
      <w:r>
        <w:rPr>
          <w:rFonts w:ascii="Arial" w:hAnsi="Arial"/>
          <w:sz w:val="24"/>
        </w:rPr>
        <w:t xml:space="preserve"> 在高安全、高複雜場景，</w:t>
      </w:r>
      <w:r>
        <w:rPr>
          <w:rFonts w:ascii="Arial" w:hAnsi="Arial"/>
          <w:b/>
          <w:sz w:val="24"/>
        </w:rPr>
        <w:t>PLTR 仍是最難替代</w:t>
      </w:r>
      <w:r>
        <w:rPr>
          <w:rFonts w:ascii="Arial" w:hAnsi="Arial"/>
          <w:sz w:val="24"/>
        </w:rPr>
        <w:t>；在一般企業IT預算市場，Azure 擴張更快。</w:t>
      </w:r>
    </w:p>
    <w:p>
      <w:pPr>
        <w:pStyle w:val="Heading3"/>
      </w:pPr>
      <w:r>
        <w:t>PLTR 競爭對手比較（2026）</w:t>
      </w:r>
    </w:p>
    <w:p>
      <w:pPr>
        <w:pStyle w:val="ListBullet"/>
      </w:pPr>
      <w:r>
        <w:rPr>
          <w:rFonts w:ascii="Arial" w:hAnsi="Arial"/>
          <w:sz w:val="24"/>
        </w:rPr>
        <w:t>vs Databricks：Databricks 強在資料科學生態；PLTR 強在端到端決策與國防安全認證。</w:t>
      </w:r>
    </w:p>
    <w:p>
      <w:pPr>
        <w:pStyle w:val="ListBullet"/>
      </w:pPr>
      <w:r>
        <w:rPr>
          <w:rFonts w:ascii="Arial" w:hAnsi="Arial"/>
          <w:sz w:val="24"/>
        </w:rPr>
        <w:t>vs Snowflake：Snowflake 強在資料倉儲易用；PLTR 強在可落地的作戰/營運場景與高黏著度。</w:t>
      </w:r>
    </w:p>
    <w:p>
      <w:pPr>
        <w:pStyle w:val="ListBullet"/>
      </w:pPr>
      <w:r>
        <w:rPr>
          <w:rFonts w:ascii="Arial" w:hAnsi="Arial"/>
          <w:sz w:val="24"/>
        </w:rPr>
        <w:t>vs Microsoft Azure AI：Azure 有通路優勢；PLTR 在高安全、政府級需求更有壁壘。</w:t>
      </w:r>
    </w:p>
    <w:p>
      <w:r>
        <w:br w:type="page"/>
      </w:r>
    </w:p>
    <w:p>
      <w:pPr>
        <w:pStyle w:val="Heading2"/>
      </w:pPr>
      <w:r>
        <w:t>第三部：RKLB</w:t>
      </w:r>
    </w:p>
    <w:p>
      <w:pPr>
        <w:pStyle w:val="Heading1"/>
      </w:pPr>
      <w:r>
        <w:t>Rocket Lab USA Inc. (RKLB) 投資研究報告</w:t>
      </w:r>
    </w:p>
    <w:p>
      <w:pPr/>
      <w:r>
        <w:rPr>
          <w:rFonts w:ascii="Arial" w:hAnsi="Arial"/>
          <w:b/>
          <w:sz w:val="24"/>
        </w:rPr>
        <w:t>報告日期：</w:t>
      </w:r>
      <w:r>
        <w:rPr>
          <w:rFonts w:ascii="Arial" w:hAnsi="Arial"/>
          <w:sz w:val="24"/>
        </w:rPr>
        <w:t xml:space="preserve"> 2026年2月19日</w:t>
      </w:r>
    </w:p>
    <w:p>
      <w:pPr/>
      <w:r>
        <w:rPr>
          <w:rFonts w:ascii="Arial" w:hAnsi="Arial"/>
          <w:b/>
          <w:sz w:val="24"/>
        </w:rPr>
        <w:t>當前股價：</w:t>
      </w:r>
      <w:r>
        <w:rPr>
          <w:rFonts w:ascii="Arial" w:hAnsi="Arial"/>
          <w:sz w:val="24"/>
        </w:rPr>
        <w:t xml:space="preserve"> $74.42 (+6.48%)</w:t>
      </w:r>
    </w:p>
    <w:p>
      <w:pPr/>
      <w:r>
        <w:rPr>
          <w:rFonts w:ascii="Arial" w:hAnsi="Arial"/>
          <w:b/>
          <w:sz w:val="24"/>
        </w:rPr>
        <w:t>市值：</w:t>
      </w:r>
      <w:r>
        <w:rPr>
          <w:rFonts w:ascii="Arial" w:hAnsi="Arial"/>
          <w:sz w:val="24"/>
        </w:rPr>
        <w:t xml:space="preserve"> $397.5億美元</w:t>
      </w:r>
    </w:p>
    <w:p>
      <w:pPr/>
      <w:r>
        <w:rPr>
          <w:rFonts w:ascii="Arial" w:hAnsi="Arial"/>
          <w:b/>
          <w:sz w:val="24"/>
        </w:rPr>
        <w:t>52週區間：</w:t>
      </w:r>
      <w:r>
        <w:rPr>
          <w:rFonts w:ascii="Arial" w:hAnsi="Arial"/>
          <w:sz w:val="24"/>
        </w:rPr>
        <w:t xml:space="preserve"> $14.71 - $99.58</w:t>
      </w:r>
    </w:p>
    <w:p>
      <w:r>
        <w:t>__________________________________________________</w:t>
      </w:r>
    </w:p>
    <w:p>
      <w:pPr>
        <w:pStyle w:val="Heading2"/>
      </w:pPr>
      <w:r>
        <w:t>一、公司概況與 2026 年營運計劃</w:t>
      </w:r>
    </w:p>
    <w:p>
      <w:pPr>
        <w:pStyle w:val="Heading3"/>
      </w:pPr>
      <w:r>
        <w:t>公司簡介</w:t>
      </w:r>
    </w:p>
    <w:p>
      <w:pPr/>
      <w:r>
        <w:rPr>
          <w:rFonts w:ascii="Arial" w:hAnsi="Arial"/>
          <w:sz w:val="24"/>
        </w:rPr>
        <w:t>Rocket Lab USA, Inc. (納斯達克代碼: RKLB) 成立於2006年,是一家端到端的太空公司,總部位於加州長灘。公司由創辦人兼執行長 Peter Beck 領導,員工數約 2,100 人。</w:t>
      </w:r>
    </w:p>
    <w:p>
      <w:pPr/>
      <w:r>
        <w:rPr>
          <w:rFonts w:ascii="Arial" w:hAnsi="Arial"/>
          <w:b/>
          <w:sz w:val="24"/>
        </w:rPr>
        <w:t>核心業務:</w:t>
      </w:r>
    </w:p>
    <w:p>
      <w:pPr>
        <w:pStyle w:val="ListNumber"/>
      </w:pPr>
      <w:r>
        <w:rPr>
          <w:rFonts w:ascii="Arial" w:hAnsi="Arial"/>
          <w:b/>
          <w:sz w:val="24"/>
        </w:rPr>
        <w:t>發射服務 (Launch Services):</w:t>
      </w:r>
      <w:r>
        <w:rPr>
          <w:rFonts w:ascii="Arial" w:hAnsi="Arial"/>
          <w:sz w:val="24"/>
        </w:rPr>
        <w:t xml:space="preserve"> Electron 小型軌道火箭,自2018年首次發射以來已完成約80次任務,是美國發射頻率第二高的火箭</w:t>
      </w:r>
    </w:p>
    <w:p>
      <w:pPr>
        <w:pStyle w:val="ListNumber"/>
      </w:pPr>
      <w:r>
        <w:rPr>
          <w:rFonts w:ascii="Arial" w:hAnsi="Arial"/>
          <w:b/>
          <w:sz w:val="24"/>
        </w:rPr>
        <w:t>太空系統 (Space Systems):</w:t>
      </w:r>
      <w:r>
        <w:rPr>
          <w:rFonts w:ascii="Arial" w:hAnsi="Arial"/>
          <w:sz w:val="24"/>
        </w:rPr>
        <w:t xml:space="preserve"> Photon 衛星平台、航天器組件、星座管理解決方案</w:t>
      </w:r>
    </w:p>
    <w:p>
      <w:pPr>
        <w:pStyle w:val="ListNumber"/>
      </w:pPr>
      <w:r>
        <w:rPr>
          <w:rFonts w:ascii="Arial" w:hAnsi="Arial"/>
          <w:b/>
          <w:sz w:val="24"/>
        </w:rPr>
        <w:t>Neutron 中型火箭開發:</w:t>
      </w:r>
      <w:r>
        <w:rPr>
          <w:rFonts w:ascii="Arial" w:hAnsi="Arial"/>
          <w:sz w:val="24"/>
        </w:rPr>
        <w:t xml:space="preserve"> 可搭載8噸載荷的可重複使用火箭,目標為大型星座部署、星際任務,未來可能支援載人飛行</w:t>
      </w:r>
    </w:p>
    <w:p>
      <w:pPr>
        <w:pStyle w:val="Heading3"/>
      </w:pPr>
      <w:r>
        <w:t>2026 年戰略重點</w:t>
      </w:r>
    </w:p>
    <w:p>
      <w:pPr/>
      <w:r>
        <w:rPr>
          <w:rFonts w:ascii="Arial" w:hAnsi="Arial"/>
          <w:sz w:val="24"/>
        </w:rPr>
        <w:t>根據財務趨勢與分析師預期,2026年公司的核心計劃包括:</w:t>
      </w:r>
    </w:p>
    <w:p>
      <w:pPr>
        <w:pStyle w:val="ListNumber"/>
      </w:pPr>
      <w:r>
        <w:rPr>
          <w:rFonts w:ascii="Arial" w:hAnsi="Arial"/>
          <w:b/>
          <w:sz w:val="24"/>
        </w:rPr>
        <w:t>Neutron 火箭首飛準備:</w:t>
      </w:r>
      <w:r>
        <w:rPr>
          <w:rFonts w:ascii="Arial" w:hAnsi="Arial"/>
          <w:sz w:val="24"/>
        </w:rPr>
        <w:t xml:space="preserve"> 預計2026年為關鍵測試與驗證階段,可能實現首次試飛</w:t>
      </w:r>
    </w:p>
    <w:p>
      <w:pPr>
        <w:pStyle w:val="ListNumber"/>
      </w:pPr>
      <w:r>
        <w:rPr>
          <w:rFonts w:ascii="Arial" w:hAnsi="Arial"/>
          <w:b/>
          <w:sz w:val="24"/>
        </w:rPr>
        <w:t>Electron 發射頻率提升:</w:t>
      </w:r>
      <w:r>
        <w:rPr>
          <w:rFonts w:ascii="Arial" w:hAnsi="Arial"/>
          <w:sz w:val="24"/>
        </w:rPr>
        <w:t xml:space="preserve"> 從2024年的季度平均2-3次發射提升至每季3-4次</w:t>
      </w:r>
    </w:p>
    <w:p>
      <w:pPr>
        <w:pStyle w:val="ListNumber"/>
      </w:pPr>
      <w:r>
        <w:rPr>
          <w:rFonts w:ascii="Arial" w:hAnsi="Arial"/>
          <w:b/>
          <w:sz w:val="24"/>
        </w:rPr>
        <w:t>Space Systems 業務加速成長:</w:t>
      </w:r>
      <w:r>
        <w:rPr>
          <w:rFonts w:ascii="Arial" w:hAnsi="Arial"/>
          <w:sz w:val="24"/>
        </w:rPr>
        <w:t xml:space="preserve"> 利用 Mandrake-2 等成功案例擴大國防訂單</w:t>
      </w:r>
    </w:p>
    <w:p>
      <w:pPr>
        <w:pStyle w:val="ListNumber"/>
      </w:pPr>
      <w:r>
        <w:rPr>
          <w:rFonts w:ascii="Arial" w:hAnsi="Arial"/>
          <w:b/>
          <w:sz w:val="24"/>
        </w:rPr>
        <w:t>毛利率持續改善:</w:t>
      </w:r>
      <w:r>
        <w:rPr>
          <w:rFonts w:ascii="Arial" w:hAnsi="Arial"/>
          <w:sz w:val="24"/>
        </w:rPr>
        <w:t xml:space="preserve"> 從2024年的26.6%提升至30%+目標</w:t>
      </w:r>
    </w:p>
    <w:p>
      <w:pPr>
        <w:pStyle w:val="ListNumber"/>
      </w:pPr>
      <w:r>
        <w:rPr>
          <w:rFonts w:ascii="Arial" w:hAnsi="Arial"/>
          <w:b/>
          <w:sz w:val="24"/>
        </w:rPr>
        <w:t>現金流正向拐點:</w:t>
      </w:r>
      <w:r>
        <w:rPr>
          <w:rFonts w:ascii="Arial" w:hAnsi="Arial"/>
          <w:sz w:val="24"/>
        </w:rPr>
        <w:t xml:space="preserve"> 預計2026-2027年運營現金流有望轉正</w:t>
      </w:r>
    </w:p>
    <w:p>
      <w:r>
        <w:t>__________________________________________________</w:t>
      </w:r>
    </w:p>
    <w:p>
      <w:pPr>
        <w:pStyle w:val="Heading2"/>
      </w:pPr>
      <w:r>
        <w:t>二、營收結構與成長動能</w:t>
      </w:r>
    </w:p>
    <w:p>
      <w:pPr>
        <w:pStyle w:val="Heading3"/>
      </w:pPr>
      <w:r>
        <w:t>2024-2025 年營收趨勢分析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期間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營收 (百萬美元)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YoY 成長率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毛利率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研發支出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淨虧損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2020 FY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$35.2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-33.6%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$19.1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-$55.0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2021 FY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$62.2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+77%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-3.0%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$41.8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-$117.3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2022 FY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$211.0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+239%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9.0%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$65.2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-$135.9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2023 FY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$244.6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+16%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21.0%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$119.1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-$182.6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2024 FY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$436.2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+78%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26.6%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$174.4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-$190.2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**2025 Q1**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**$122.6**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**+32%**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**29%**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**$55.1**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**-$60.6**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**2025 Q2**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**$144.5**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**+36%**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**32%**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**$66.1**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**-$66.4**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**2025 Q3**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**$155.1**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**+48%**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**37%**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**$70.7**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**-$18.3**</w:t>
            </w:r>
          </w:p>
        </w:tc>
      </w:tr>
    </w:tbl>
    <w:p>
      <w:pPr/>
      <w:r>
        <w:rPr>
          <w:rFonts w:ascii="Arial" w:hAnsi="Arial"/>
          <w:b/>
          <w:sz w:val="24"/>
        </w:rPr>
        <w:t>關鍵觀察:</w:t>
      </w:r>
    </w:p>
    <w:p>
      <w:pPr>
        <w:pStyle w:val="ListBullet"/>
      </w:pPr>
      <w:r>
        <w:rPr>
          <w:rFonts w:ascii="Arial" w:hAnsi="Arial"/>
          <w:b/>
          <w:sz w:val="24"/>
        </w:rPr>
        <w:t>營收加速成長:</w:t>
      </w:r>
      <w:r>
        <w:rPr>
          <w:rFonts w:ascii="Arial" w:hAnsi="Arial"/>
          <w:sz w:val="24"/>
        </w:rPr>
        <w:t xml:space="preserve"> 2025年前三季營收達 $422.1M,同比成長約 +38%,年化營收超過 $560M</w:t>
      </w:r>
    </w:p>
    <w:p>
      <w:pPr>
        <w:pStyle w:val="ListBullet"/>
      </w:pPr>
      <w:r>
        <w:rPr>
          <w:rFonts w:ascii="Arial" w:hAnsi="Arial"/>
          <w:b/>
          <w:sz w:val="24"/>
        </w:rPr>
        <w:t>毛利率大幅提升:</w:t>
      </w:r>
      <w:r>
        <w:rPr>
          <w:rFonts w:ascii="Arial" w:hAnsi="Arial"/>
          <w:sz w:val="24"/>
        </w:rPr>
        <w:t xml:space="preserve"> 從 Q1 的 29% 提升至 Q3 的 37%,顯示規模經濟與運營效率改善</w:t>
      </w:r>
    </w:p>
    <w:p>
      <w:pPr>
        <w:pStyle w:val="ListBullet"/>
      </w:pPr>
      <w:r>
        <w:rPr>
          <w:rFonts w:ascii="Arial" w:hAnsi="Arial"/>
          <w:b/>
          <w:sz w:val="24"/>
        </w:rPr>
        <w:t>虧損顯著收窄:</w:t>
      </w:r>
      <w:r>
        <w:rPr>
          <w:rFonts w:ascii="Arial" w:hAnsi="Arial"/>
          <w:sz w:val="24"/>
        </w:rPr>
        <w:t xml:space="preserve"> Q3 淨虧損僅 $18.3M,較 Q1/Q2 大幅改善,顯示盈利拐點接近</w:t>
      </w:r>
    </w:p>
    <w:p>
      <w:pPr>
        <w:pStyle w:val="Heading3"/>
      </w:pPr>
      <w:r>
        <w:t>2026 年營收預測</w:t>
      </w:r>
    </w:p>
    <w:p>
      <w:pPr/>
      <w:r>
        <w:rPr>
          <w:rFonts w:ascii="Arial" w:hAnsi="Arial"/>
          <w:sz w:val="24"/>
        </w:rPr>
        <w:t>根據 FMP 分析師共識 (11位分析師):</w:t>
      </w:r>
    </w:p>
    <w:p>
      <w:pPr>
        <w:pStyle w:val="ListBullet"/>
      </w:pPr>
      <w:r>
        <w:rPr>
          <w:rFonts w:ascii="Arial" w:hAnsi="Arial"/>
          <w:b/>
          <w:sz w:val="24"/>
        </w:rPr>
        <w:t>2026 FY 營收預測:</w:t>
      </w:r>
      <w:r>
        <w:rPr>
          <w:rFonts w:ascii="Arial" w:hAnsi="Arial"/>
          <w:sz w:val="24"/>
        </w:rPr>
        <w:t xml:space="preserve"> $891M (區間: $758M - $962M)</w:t>
      </w:r>
    </w:p>
    <w:p>
      <w:pPr>
        <w:pStyle w:val="ListBullet"/>
      </w:pPr>
      <w:r>
        <w:rPr>
          <w:rFonts w:ascii="Arial" w:hAnsi="Arial"/>
          <w:b/>
          <w:sz w:val="24"/>
        </w:rPr>
        <w:t>隱含成長率:</w:t>
      </w:r>
      <w:r>
        <w:rPr>
          <w:rFonts w:ascii="Arial" w:hAnsi="Arial"/>
          <w:sz w:val="24"/>
        </w:rPr>
        <w:t xml:space="preserve"> +60% YoY (相較2025年預估 $554M)</w:t>
      </w:r>
    </w:p>
    <w:p>
      <w:pPr>
        <w:pStyle w:val="ListBullet"/>
      </w:pPr>
      <w:r>
        <w:rPr>
          <w:rFonts w:ascii="Arial" w:hAnsi="Arial"/>
          <w:b/>
          <w:sz w:val="24"/>
        </w:rPr>
        <w:t>2027 FY 營收預測:</w:t>
      </w:r>
      <w:r>
        <w:rPr>
          <w:rFonts w:ascii="Arial" w:hAnsi="Arial"/>
          <w:sz w:val="24"/>
        </w:rPr>
        <w:t xml:space="preserve"> $1,250M (+40% YoY)</w:t>
      </w:r>
    </w:p>
    <w:p>
      <w:pPr>
        <w:pStyle w:val="ListBullet"/>
      </w:pPr>
      <w:r>
        <w:rPr>
          <w:rFonts w:ascii="Arial" w:hAnsi="Arial"/>
          <w:b/>
          <w:sz w:val="24"/>
        </w:rPr>
        <w:t>2028-2029 FY:</w:t>
      </w:r>
      <w:r>
        <w:rPr>
          <w:rFonts w:ascii="Arial" w:hAnsi="Arial"/>
          <w:sz w:val="24"/>
        </w:rPr>
        <w:t xml:space="preserve"> 持續以 +20-30% 成長至 $1.9B</w:t>
      </w:r>
    </w:p>
    <w:p>
      <w:pPr>
        <w:pStyle w:val="Heading3"/>
      </w:pPr>
      <w:r>
        <w:t>業務結構推測</w:t>
      </w:r>
    </w:p>
    <w:p>
      <w:pPr/>
      <w:r>
        <w:rPr>
          <w:rFonts w:ascii="Arial" w:hAnsi="Arial"/>
          <w:sz w:val="24"/>
        </w:rPr>
        <w:t>雖然公司未披露 Launch Services 與 Space Systems 的具體營收拆分,但根據以下線索可推斷:</w:t>
      </w:r>
    </w:p>
    <w:p>
      <w:pPr/>
      <w:r>
        <w:rPr>
          <w:rFonts w:ascii="Arial" w:hAnsi="Arial"/>
          <w:b/>
          <w:sz w:val="24"/>
        </w:rPr>
        <w:t>Launch Services (發射服務):</w:t>
      </w:r>
    </w:p>
    <w:p>
      <w:pPr>
        <w:pStyle w:val="ListBullet"/>
      </w:pPr>
      <w:r>
        <w:rPr>
          <w:rFonts w:ascii="Arial" w:hAnsi="Arial"/>
          <w:b/>
          <w:sz w:val="24"/>
        </w:rPr>
        <w:t>2024-2025 貢獻:</w:t>
      </w:r>
      <w:r>
        <w:rPr>
          <w:rFonts w:ascii="Arial" w:hAnsi="Arial"/>
          <w:sz w:val="24"/>
        </w:rPr>
        <w:t xml:space="preserve"> 約 60-65% 營收 (~$350M in 2025E)</w:t>
      </w:r>
    </w:p>
    <w:p>
      <w:pPr>
        <w:pStyle w:val="ListBullet"/>
      </w:pPr>
      <w:r>
        <w:rPr>
          <w:rFonts w:ascii="Arial" w:hAnsi="Arial"/>
          <w:sz w:val="24"/>
        </w:rPr>
        <w:t>Electron 火箭每次發射收費約 $7.5M</w:t>
      </w:r>
    </w:p>
    <w:p>
      <w:pPr>
        <w:pStyle w:val="ListBullet"/>
      </w:pPr>
      <w:r>
        <w:rPr>
          <w:rFonts w:ascii="Arial" w:hAnsi="Arial"/>
          <w:sz w:val="24"/>
        </w:rPr>
        <w:t>2025年預計完成 15-18 次發射</w:t>
      </w:r>
    </w:p>
    <w:p>
      <w:pPr>
        <w:pStyle w:val="ListBullet"/>
      </w:pPr>
      <w:r>
        <w:rPr>
          <w:rFonts w:ascii="Arial" w:hAnsi="Arial"/>
          <w:sz w:val="24"/>
        </w:rPr>
        <w:t>成長驅動力: 發射頻率提升、客戶多元化</w:t>
      </w:r>
    </w:p>
    <w:p>
      <w:pPr/>
      <w:r>
        <w:rPr>
          <w:rFonts w:ascii="Arial" w:hAnsi="Arial"/>
          <w:b/>
          <w:sz w:val="24"/>
        </w:rPr>
        <w:t>Space Systems (太空系統):</w:t>
      </w:r>
    </w:p>
    <w:p>
      <w:pPr>
        <w:pStyle w:val="ListBullet"/>
      </w:pPr>
      <w:r>
        <w:rPr>
          <w:rFonts w:ascii="Arial" w:hAnsi="Arial"/>
          <w:b/>
          <w:sz w:val="24"/>
        </w:rPr>
        <w:t>2024-2025 貢獻:</w:t>
      </w:r>
      <w:r>
        <w:rPr>
          <w:rFonts w:ascii="Arial" w:hAnsi="Arial"/>
          <w:sz w:val="24"/>
        </w:rPr>
        <w:t xml:space="preserve"> 約 35-40% 營收 (~$200M in 2025E)</w:t>
      </w:r>
    </w:p>
    <w:p>
      <w:pPr>
        <w:pStyle w:val="ListBullet"/>
      </w:pPr>
      <w:r>
        <w:rPr>
          <w:rFonts w:ascii="Arial" w:hAnsi="Arial"/>
          <w:sz w:val="24"/>
        </w:rPr>
        <w:t>高毛利率業務 (預估 40-50%),拉高整體毛利率</w:t>
      </w:r>
    </w:p>
    <w:p>
      <w:pPr>
        <w:pStyle w:val="ListBullet"/>
      </w:pPr>
      <w:r>
        <w:rPr>
          <w:rFonts w:ascii="Arial" w:hAnsi="Arial"/>
          <w:sz w:val="24"/>
        </w:rPr>
        <w:t>成長驅動力:</w:t>
      </w:r>
    </w:p>
    <w:p>
      <w:pPr/>
      <w:r>
        <w:rPr>
          <w:rFonts w:ascii="Arial" w:hAnsi="Arial"/>
          <w:sz w:val="24"/>
        </w:rPr>
        <w:t xml:space="preserve">  - 國防合約 (Mandrake-2 等 DARPA、SDA、NRO 專案)</w:t>
      </w:r>
    </w:p>
    <w:p>
      <w:pPr/>
      <w:r>
        <w:rPr>
          <w:rFonts w:ascii="Arial" w:hAnsi="Arial"/>
          <w:sz w:val="24"/>
        </w:rPr>
        <w:t xml:space="preserve">  - Photon 衛星平台商業訂單</w:t>
      </w:r>
    </w:p>
    <w:p>
      <w:pPr/>
      <w:r>
        <w:rPr>
          <w:rFonts w:ascii="Arial" w:hAnsi="Arial"/>
          <w:sz w:val="24"/>
        </w:rPr>
        <w:t xml:space="preserve">  - 組件銷售 (星體追踪器、反應輪等)</w:t>
      </w:r>
    </w:p>
    <w:p>
      <w:pPr/>
      <w:r>
        <w:rPr>
          <w:rFonts w:ascii="Arial" w:hAnsi="Arial"/>
          <w:b/>
          <w:sz w:val="24"/>
        </w:rPr>
        <w:t>2026 年營收結構預測:</w:t>
      </w:r>
    </w:p>
    <w:p>
      <w:pPr>
        <w:pStyle w:val="ListBullet"/>
      </w:pPr>
      <w:r>
        <w:rPr>
          <w:rFonts w:ascii="Arial" w:hAnsi="Arial"/>
          <w:sz w:val="24"/>
        </w:rPr>
        <w:t>Launch Services: ~$540M (成長 +55%)</w:t>
      </w:r>
    </w:p>
    <w:p>
      <w:pPr>
        <w:pStyle w:val="ListBullet"/>
      </w:pPr>
      <w:r>
        <w:rPr>
          <w:rFonts w:ascii="Arial" w:hAnsi="Arial"/>
          <w:sz w:val="24"/>
        </w:rPr>
        <w:t>Space Systems: ~$350M (成長 +75%)</w:t>
      </w:r>
    </w:p>
    <w:p>
      <w:pPr>
        <w:pStyle w:val="ListBullet"/>
      </w:pPr>
      <w:r>
        <w:rPr>
          <w:rFonts w:ascii="Arial" w:hAnsi="Arial"/>
          <w:b/>
          <w:sz w:val="24"/>
        </w:rPr>
        <w:t>Space Systems 佔比提升至 39%</w:t>
      </w:r>
      <w:r>
        <w:rPr>
          <w:rFonts w:ascii="Arial" w:hAnsi="Arial"/>
          <w:sz w:val="24"/>
        </w:rPr>
        <w:t>,顯示高附加值業務加速</w:t>
      </w:r>
    </w:p>
    <w:p>
      <w:r>
        <w:t>__________________________________________________</w:t>
      </w:r>
    </w:p>
    <w:p>
      <w:pPr>
        <w:pStyle w:val="Heading2"/>
      </w:pPr>
      <w:r>
        <w:t>三、資本支出與 Neutron 開發成本</w:t>
      </w:r>
    </w:p>
    <w:p>
      <w:pPr>
        <w:pStyle w:val="Heading3"/>
      </w:pPr>
      <w:r>
        <w:t>歷年資本支出趨勢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年度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資本支出 (CAPEX)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營收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CAPEX/營收比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自由現金流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2021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-$25.7M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$62.2M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41%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-$97.5M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2022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-$42.4M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$211.0M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20%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-$149.0M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2023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-$54.7M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$244.6M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22%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-$153.6M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2024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-$67.1M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$436.2M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15%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-$116.0M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**2025 Q1**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-$28.7M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$122.6M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23%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-$82.9M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**2025 Q2**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-$32.0M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$144.5M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22%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-$55.3M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**2025 Q3**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-$45.9M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$155.1M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30%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-$69.4M</w:t>
            </w:r>
          </w:p>
        </w:tc>
      </w:tr>
    </w:tbl>
    <w:p>
      <w:pPr/>
      <w:r>
        <w:rPr>
          <w:rFonts w:ascii="Arial" w:hAnsi="Arial"/>
          <w:b/>
          <w:sz w:val="24"/>
        </w:rPr>
        <w:t>2025 年 CAPEX 特點:</w:t>
      </w:r>
    </w:p>
    <w:p>
      <w:pPr>
        <w:pStyle w:val="ListBullet"/>
      </w:pPr>
      <w:r>
        <w:rPr>
          <w:rFonts w:ascii="Arial" w:hAnsi="Arial"/>
          <w:sz w:val="24"/>
        </w:rPr>
        <w:t xml:space="preserve">前三季累計 CAPEX: </w:t>
      </w:r>
      <w:r>
        <w:rPr>
          <w:rFonts w:ascii="Arial" w:hAnsi="Arial"/>
          <w:b/>
          <w:sz w:val="24"/>
        </w:rPr>
        <w:t>$106.6M</w:t>
      </w:r>
      <w:r>
        <w:rPr>
          <w:rFonts w:ascii="Arial" w:hAnsi="Arial"/>
          <w:sz w:val="24"/>
        </w:rPr>
        <w:t xml:space="preserve">,年化約 </w:t>
      </w:r>
      <w:r>
        <w:rPr>
          <w:rFonts w:ascii="Arial" w:hAnsi="Arial"/>
          <w:b/>
          <w:sz w:val="24"/>
        </w:rPr>
        <w:t>$142M</w:t>
      </w:r>
    </w:p>
    <w:p>
      <w:pPr>
        <w:pStyle w:val="ListBullet"/>
      </w:pPr>
      <w:r>
        <w:rPr>
          <w:rFonts w:ascii="Arial" w:hAnsi="Arial"/>
          <w:b/>
          <w:sz w:val="24"/>
        </w:rPr>
        <w:t>Q3 CAPEX 大幅提升</w:t>
      </w:r>
      <w:r>
        <w:rPr>
          <w:rFonts w:ascii="Arial" w:hAnsi="Arial"/>
          <w:sz w:val="24"/>
        </w:rPr>
        <w:t xml:space="preserve"> 至 $45.9M,顯示 Neutron 開發進入關鍵階段</w:t>
      </w:r>
    </w:p>
    <w:p>
      <w:pPr>
        <w:pStyle w:val="Heading3"/>
      </w:pPr>
      <w:r>
        <w:t>Neutron 火箭開發成本推估</w:t>
      </w:r>
    </w:p>
    <w:p>
      <w:pPr/>
      <w:r>
        <w:rPr>
          <w:rFonts w:ascii="Arial" w:hAnsi="Arial"/>
          <w:b/>
          <w:sz w:val="24"/>
        </w:rPr>
        <w:t>總開發成本預估:</w:t>
      </w:r>
      <w:r>
        <w:rPr>
          <w:rFonts w:ascii="Arial" w:hAnsi="Arial"/>
          <w:sz w:val="24"/>
        </w:rPr>
        <w:t xml:space="preserve"> $250M - $350M</w:t>
      </w:r>
    </w:p>
    <w:p>
      <w:pPr>
        <w:pStyle w:val="ListBullet"/>
      </w:pPr>
      <w:r>
        <w:rPr>
          <w:rFonts w:ascii="Arial" w:hAnsi="Arial"/>
          <w:b/>
          <w:sz w:val="24"/>
        </w:rPr>
        <w:t>已投入 (2021-2024):</w:t>
      </w:r>
      <w:r>
        <w:rPr>
          <w:rFonts w:ascii="Arial" w:hAnsi="Arial"/>
          <w:sz w:val="24"/>
        </w:rPr>
        <w:t xml:space="preserve"> 約 $150M - $200M</w:t>
      </w:r>
    </w:p>
    <w:p>
      <w:pPr>
        <w:pStyle w:val="ListBullet"/>
      </w:pPr>
      <w:r>
        <w:rPr>
          <w:rFonts w:ascii="Arial" w:hAnsi="Arial"/>
          <w:b/>
          <w:sz w:val="24"/>
        </w:rPr>
        <w:t>2025-2026 預計投入:</w:t>
      </w:r>
      <w:r>
        <w:rPr>
          <w:rFonts w:ascii="Arial" w:hAnsi="Arial"/>
          <w:sz w:val="24"/>
        </w:rPr>
        <w:t xml:space="preserve"> $100M - $150M</w:t>
      </w:r>
    </w:p>
    <w:p>
      <w:pPr/>
      <w:r>
        <w:rPr>
          <w:rFonts w:ascii="Arial" w:hAnsi="Arial"/>
          <w:b/>
          <w:sz w:val="24"/>
        </w:rPr>
        <w:t>投入項目:</w:t>
      </w:r>
    </w:p>
    <w:p>
      <w:pPr>
        <w:pStyle w:val="ListNumber"/>
      </w:pPr>
      <w:r>
        <w:rPr>
          <w:rFonts w:ascii="Arial" w:hAnsi="Arial"/>
          <w:b/>
          <w:sz w:val="24"/>
        </w:rPr>
        <w:t>Launch Complex 3 (LC-3) 建設:</w:t>
      </w:r>
      <w:r>
        <w:rPr>
          <w:rFonts w:ascii="Arial" w:hAnsi="Arial"/>
          <w:sz w:val="24"/>
        </w:rPr>
        <w:t xml:space="preserve"> 位於維吉尼亞州 Wallops Island 的 Neutron 專用發射台</w:t>
      </w:r>
    </w:p>
    <w:p>
      <w:pPr>
        <w:pStyle w:val="ListNumber"/>
      </w:pPr>
      <w:r>
        <w:rPr>
          <w:rFonts w:ascii="Arial" w:hAnsi="Arial"/>
          <w:b/>
          <w:sz w:val="24"/>
        </w:rPr>
        <w:t>Archimedes 引擎開發:</w:t>
      </w:r>
      <w:r>
        <w:rPr>
          <w:rFonts w:ascii="Arial" w:hAnsi="Arial"/>
          <w:sz w:val="24"/>
        </w:rPr>
        <w:t xml:space="preserve"> Neutron 使用的可重複使用甲烷/液氧引擎</w:t>
      </w:r>
    </w:p>
    <w:p>
      <w:pPr>
        <w:pStyle w:val="ListNumber"/>
      </w:pPr>
      <w:r>
        <w:rPr>
          <w:rFonts w:ascii="Arial" w:hAnsi="Arial"/>
          <w:b/>
          <w:sz w:val="24"/>
        </w:rPr>
        <w:t>生產設施擴建:</w:t>
      </w:r>
      <w:r>
        <w:rPr>
          <w:rFonts w:ascii="Arial" w:hAnsi="Arial"/>
          <w:sz w:val="24"/>
        </w:rPr>
        <w:t xml:space="preserve"> 加州與紐西蘭的製造與測試設備</w:t>
      </w:r>
    </w:p>
    <w:p>
      <w:pPr>
        <w:pStyle w:val="ListNumber"/>
      </w:pPr>
      <w:r>
        <w:rPr>
          <w:rFonts w:ascii="Arial" w:hAnsi="Arial"/>
          <w:b/>
          <w:sz w:val="24"/>
        </w:rPr>
        <w:t>火箭本體製造:</w:t>
      </w:r>
      <w:r>
        <w:rPr>
          <w:rFonts w:ascii="Arial" w:hAnsi="Arial"/>
          <w:sz w:val="24"/>
        </w:rPr>
        <w:t xml:space="preserve"> 首批測試火箭的材料與組裝成本</w:t>
      </w:r>
    </w:p>
    <w:p>
      <w:pPr/>
      <w:r>
        <w:rPr>
          <w:rFonts w:ascii="Arial" w:hAnsi="Arial"/>
          <w:b/>
          <w:sz w:val="24"/>
        </w:rPr>
        <w:t>2026 年 Neutron 里程碑預測:</w:t>
      </w:r>
    </w:p>
    <w:p>
      <w:pPr>
        <w:pStyle w:val="ListBullet"/>
      </w:pPr>
      <w:r>
        <w:rPr>
          <w:rFonts w:ascii="Arial" w:hAnsi="Arial"/>
          <w:b/>
          <w:sz w:val="24"/>
        </w:rPr>
        <w:t>2026 Q2:</w:t>
      </w:r>
      <w:r>
        <w:rPr>
          <w:rFonts w:ascii="Arial" w:hAnsi="Arial"/>
          <w:sz w:val="24"/>
        </w:rPr>
        <w:t xml:space="preserve"> Archimedes 引擎靜態點火測試完成</w:t>
      </w:r>
    </w:p>
    <w:p>
      <w:pPr>
        <w:pStyle w:val="ListBullet"/>
      </w:pPr>
      <w:r>
        <w:rPr>
          <w:rFonts w:ascii="Arial" w:hAnsi="Arial"/>
          <w:b/>
          <w:sz w:val="24"/>
        </w:rPr>
        <w:t>2026 Q3-Q4:</w:t>
      </w:r>
      <w:r>
        <w:rPr>
          <w:rFonts w:ascii="Arial" w:hAnsi="Arial"/>
          <w:sz w:val="24"/>
        </w:rPr>
        <w:t xml:space="preserve"> 首次試飛窗口 (高機率延至 2027 Q1)</w:t>
      </w:r>
    </w:p>
    <w:p>
      <w:pPr>
        <w:pStyle w:val="ListBullet"/>
      </w:pPr>
      <w:r>
        <w:rPr>
          <w:rFonts w:ascii="Arial" w:hAnsi="Arial"/>
          <w:b/>
          <w:sz w:val="24"/>
        </w:rPr>
        <w:t>2027 年:</w:t>
      </w:r>
      <w:r>
        <w:rPr>
          <w:rFonts w:ascii="Arial" w:hAnsi="Arial"/>
          <w:sz w:val="24"/>
        </w:rPr>
        <w:t xml:space="preserve"> 首次商業發射</w:t>
      </w:r>
    </w:p>
    <w:p>
      <w:pPr>
        <w:pStyle w:val="Heading3"/>
      </w:pPr>
      <w:r>
        <w:t>現金流與資金充足性</w:t>
      </w:r>
    </w:p>
    <w:p>
      <w:pPr/>
      <w:r>
        <w:rPr>
          <w:rFonts w:ascii="Arial" w:hAnsi="Arial"/>
          <w:b/>
          <w:sz w:val="24"/>
        </w:rPr>
        <w:t>2025 Q3 資產負債表:</w:t>
      </w:r>
    </w:p>
    <w:p>
      <w:pPr>
        <w:pStyle w:val="ListBullet"/>
      </w:pPr>
      <w:r>
        <w:rPr>
          <w:rFonts w:ascii="Arial" w:hAnsi="Arial"/>
          <w:b/>
          <w:sz w:val="24"/>
        </w:rPr>
        <w:t>現金與短期投資:</w:t>
      </w:r>
      <w:r>
        <w:rPr>
          <w:rFonts w:ascii="Arial" w:hAnsi="Arial"/>
          <w:sz w:val="24"/>
        </w:rPr>
        <w:t xml:space="preserve"> $807.9M (大幅增長,較 2024 年底的 $419M 成長 +93%)</w:t>
      </w:r>
    </w:p>
    <w:p>
      <w:pPr>
        <w:pStyle w:val="ListBullet"/>
      </w:pPr>
      <w:r>
        <w:rPr>
          <w:rFonts w:ascii="Arial" w:hAnsi="Arial"/>
          <w:b/>
          <w:sz w:val="24"/>
        </w:rPr>
        <w:t>總債務:</w:t>
      </w:r>
      <w:r>
        <w:rPr>
          <w:rFonts w:ascii="Arial" w:hAnsi="Arial"/>
          <w:sz w:val="24"/>
        </w:rPr>
        <w:t xml:space="preserve"> $516.6M</w:t>
      </w:r>
    </w:p>
    <w:p>
      <w:pPr>
        <w:pStyle w:val="ListBullet"/>
      </w:pPr>
      <w:r>
        <w:rPr>
          <w:rFonts w:ascii="Arial" w:hAnsi="Arial"/>
          <w:b/>
          <w:sz w:val="24"/>
        </w:rPr>
        <w:t>淨現金:</w:t>
      </w:r>
      <w:r>
        <w:rPr>
          <w:rFonts w:ascii="Arial" w:hAnsi="Arial"/>
          <w:sz w:val="24"/>
        </w:rPr>
        <w:t xml:space="preserve"> $291.3M</w:t>
      </w:r>
    </w:p>
    <w:p>
      <w:pPr>
        <w:pStyle w:val="ListBullet"/>
      </w:pPr>
      <w:r>
        <w:rPr>
          <w:rFonts w:ascii="Arial" w:hAnsi="Arial"/>
          <w:b/>
          <w:sz w:val="24"/>
        </w:rPr>
        <w:t>遞延收入:</w:t>
      </w:r>
      <w:r>
        <w:rPr>
          <w:rFonts w:ascii="Arial" w:hAnsi="Arial"/>
          <w:sz w:val="24"/>
        </w:rPr>
        <w:t xml:space="preserve"> $208.2M (預收款項,顯示訂單強勁)</w:t>
      </w:r>
    </w:p>
    <w:p>
      <w:pPr/>
      <w:r>
        <w:rPr>
          <w:rFonts w:ascii="Arial" w:hAnsi="Arial"/>
          <w:b/>
          <w:sz w:val="24"/>
        </w:rPr>
        <w:t>現金燃燒速度:</w:t>
      </w:r>
    </w:p>
    <w:p>
      <w:pPr>
        <w:pStyle w:val="ListBullet"/>
      </w:pPr>
      <w:r>
        <w:rPr>
          <w:rFonts w:ascii="Arial" w:hAnsi="Arial"/>
          <w:sz w:val="24"/>
        </w:rPr>
        <w:t>2024 全年運營現金流: -$48.9M</w:t>
      </w:r>
    </w:p>
    <w:p>
      <w:pPr>
        <w:pStyle w:val="ListBullet"/>
      </w:pPr>
      <w:r>
        <w:rPr>
          <w:rFonts w:ascii="Arial" w:hAnsi="Arial"/>
          <w:sz w:val="24"/>
        </w:rPr>
        <w:t>2025 Q1-Q3 運營現金流: -$101.9M (年化約 -$136M)</w:t>
      </w:r>
    </w:p>
    <w:p>
      <w:pPr>
        <w:pStyle w:val="ListBullet"/>
      </w:pPr>
      <w:r>
        <w:rPr>
          <w:rFonts w:ascii="Arial" w:hAnsi="Arial"/>
          <w:b/>
          <w:sz w:val="24"/>
        </w:rPr>
        <w:t>自由現金流改善:</w:t>
      </w:r>
      <w:r>
        <w:rPr>
          <w:rFonts w:ascii="Arial" w:hAnsi="Arial"/>
          <w:sz w:val="24"/>
        </w:rPr>
        <w:t xml:space="preserve"> 從 2024 全年的 -$116M 改善,預計 2026 年可能接近現金流平衡</w:t>
      </w:r>
    </w:p>
    <w:p>
      <w:pPr/>
      <w:r>
        <w:rPr>
          <w:rFonts w:ascii="Arial" w:hAnsi="Arial"/>
          <w:b/>
          <w:sz w:val="24"/>
        </w:rPr>
        <w:t>資金來源:</w:t>
      </w:r>
    </w:p>
    <w:p>
      <w:pPr>
        <w:pStyle w:val="ListBullet"/>
      </w:pPr>
      <w:r>
        <w:rPr>
          <w:rFonts w:ascii="Arial" w:hAnsi="Arial"/>
          <w:sz w:val="24"/>
        </w:rPr>
        <w:t>2024年發行可轉債籌資約 $303M</w:t>
      </w:r>
    </w:p>
    <w:p>
      <w:pPr>
        <w:pStyle w:val="ListBullet"/>
      </w:pPr>
      <w:r>
        <w:rPr>
          <w:rFonts w:ascii="Arial" w:hAnsi="Arial"/>
          <w:sz w:val="24"/>
        </w:rPr>
        <w:t>現有現金足以支撐至 2027 年中,無近期融資壓力</w:t>
      </w:r>
    </w:p>
    <w:p>
      <w:r>
        <w:t>__________________________________________________</w:t>
      </w:r>
    </w:p>
    <w:p>
      <w:pPr>
        <w:pStyle w:val="Heading2"/>
      </w:pPr>
      <w:r>
        <w:t>四、2026 年重大動向與新聞</w:t>
      </w:r>
    </w:p>
    <w:p>
      <w:pPr>
        <w:pStyle w:val="Heading3"/>
      </w:pPr>
      <w:r>
        <w:t>已發生的關鍵事件</w:t>
      </w:r>
    </w:p>
    <w:p>
      <w:pPr>
        <w:pStyle w:val="ListNumber"/>
      </w:pPr>
      <w:r>
        <w:rPr>
          <w:rFonts w:ascii="Arial" w:hAnsi="Arial"/>
          <w:b/>
          <w:sz w:val="24"/>
        </w:rPr>
        <w:t>Mandrake-2 任務成功 (2025年6月):</w:t>
      </w:r>
    </w:p>
    <w:p>
      <w:pPr/>
      <w:r>
        <w:rPr>
          <w:rFonts w:ascii="Arial" w:hAnsi="Arial"/>
          <w:sz w:val="24"/>
        </w:rPr>
        <w:t xml:space="preserve">   - 為 DARPA 與 Space Development Agency (SDA) 打造的兩顆衛星 Able 和 Baker</w:t>
      </w:r>
    </w:p>
    <w:p>
      <w:pPr/>
      <w:r>
        <w:rPr>
          <w:rFonts w:ascii="Arial" w:hAnsi="Arial"/>
          <w:sz w:val="24"/>
        </w:rPr>
        <w:t xml:space="preserve">   - 成功展示 114 公里距離的光學通訊鏈路,40分鐘內傳輸超過 280 Gb 資料</w:t>
      </w:r>
    </w:p>
    <w:p>
      <w:pPr/>
      <w:r>
        <w:rPr>
          <w:rFonts w:ascii="Arial" w:hAnsi="Arial"/>
          <w:sz w:val="24"/>
        </w:rPr>
        <w:t xml:space="preserve">   - Rocket Lab 提供飛行軟體、導航控制、地面系統、星體追踪器、反應輪等全套解決方案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意義:</w:t>
      </w:r>
      <w:r>
        <w:rPr>
          <w:rFonts w:ascii="Arial" w:hAnsi="Arial"/>
          <w:sz w:val="24"/>
        </w:rPr>
        <w:t xml:space="preserve"> 證明公司在國防高端任務的系統整合能力,為後續合約鋪路</w:t>
      </w:r>
    </w:p>
    <w:p>
      <w:pPr>
        <w:pStyle w:val="ListNumber"/>
      </w:pPr>
      <w:r>
        <w:rPr>
          <w:rFonts w:ascii="Arial" w:hAnsi="Arial"/>
          <w:b/>
          <w:sz w:val="24"/>
        </w:rPr>
        <w:t>Electron 第80次發射 (2025年底):</w:t>
      </w:r>
    </w:p>
    <w:p>
      <w:pPr/>
      <w:r>
        <w:rPr>
          <w:rFonts w:ascii="Arial" w:hAnsi="Arial"/>
          <w:sz w:val="24"/>
        </w:rPr>
        <w:t xml:space="preserve">   - 達成重要里程碑,鞏固小型火箭市場領導地位</w:t>
      </w:r>
    </w:p>
    <w:p>
      <w:pPr/>
      <w:r>
        <w:rPr>
          <w:rFonts w:ascii="Arial" w:hAnsi="Arial"/>
          <w:sz w:val="24"/>
        </w:rPr>
        <w:t xml:space="preserve">   - 發射頻率持續提升,2025年預計完成 15-18 次發射</w:t>
      </w:r>
    </w:p>
    <w:p>
      <w:pPr>
        <w:pStyle w:val="ListNumber"/>
      </w:pPr>
      <w:r>
        <w:rPr>
          <w:rFonts w:ascii="Arial" w:hAnsi="Arial"/>
          <w:b/>
          <w:sz w:val="24"/>
        </w:rPr>
        <w:t>股價暴漲:</w:t>
      </w:r>
    </w:p>
    <w:p>
      <w:pPr/>
      <w:r>
        <w:rPr>
          <w:rFonts w:ascii="Arial" w:hAnsi="Arial"/>
          <w:sz w:val="24"/>
        </w:rPr>
        <w:t xml:space="preserve">   - 2025年全年股價從 $14.71 低點暴漲至 $99.58 高點,漲幅達 +577%</w:t>
      </w:r>
    </w:p>
    <w:p>
      <w:pPr/>
      <w:r>
        <w:rPr>
          <w:rFonts w:ascii="Arial" w:hAnsi="Arial"/>
          <w:sz w:val="24"/>
        </w:rPr>
        <w:t xml:space="preserve">   - 反映市場對太空產業與 Rocket Lab 成長潛力的樂觀預期</w:t>
      </w:r>
    </w:p>
    <w:p>
      <w:pPr>
        <w:pStyle w:val="Heading3"/>
      </w:pPr>
      <w:r>
        <w:t>2026 年預期事件</w:t>
      </w:r>
    </w:p>
    <w:p>
      <w:pPr>
        <w:pStyle w:val="ListNumber"/>
      </w:pPr>
      <w:r>
        <w:rPr>
          <w:rFonts w:ascii="Arial" w:hAnsi="Arial"/>
          <w:b/>
          <w:sz w:val="24"/>
        </w:rPr>
        <w:t>Q1 2026: 2025 FY 財報發布 (2月26日)</w:t>
      </w:r>
    </w:p>
    <w:p>
      <w:pPr/>
      <w:r>
        <w:rPr>
          <w:rFonts w:ascii="Arial" w:hAnsi="Arial"/>
          <w:sz w:val="24"/>
        </w:rPr>
        <w:t xml:space="preserve">   - 預期全年營收 $550M - $570M</w:t>
      </w:r>
    </w:p>
    <w:p>
      <w:pPr/>
      <w:r>
        <w:rPr>
          <w:rFonts w:ascii="Arial" w:hAnsi="Arial"/>
          <w:sz w:val="24"/>
        </w:rPr>
        <w:t xml:space="preserve">   - 可能首次提出正向 EBITDA 或現金流指引</w:t>
      </w:r>
    </w:p>
    <w:p>
      <w:pPr>
        <w:pStyle w:val="ListNumber"/>
      </w:pPr>
      <w:r>
        <w:rPr>
          <w:rFonts w:ascii="Arial" w:hAnsi="Arial"/>
          <w:b/>
          <w:sz w:val="24"/>
        </w:rPr>
        <w:t>Q2-Q3 2026: Neutron 關鍵測試</w:t>
      </w:r>
    </w:p>
    <w:p>
      <w:pPr/>
      <w:r>
        <w:rPr>
          <w:rFonts w:ascii="Arial" w:hAnsi="Arial"/>
          <w:sz w:val="24"/>
        </w:rPr>
        <w:t xml:space="preserve">   - Archimedes 引擎全推力測試</w:t>
      </w:r>
    </w:p>
    <w:p>
      <w:pPr/>
      <w:r>
        <w:rPr>
          <w:rFonts w:ascii="Arial" w:hAnsi="Arial"/>
          <w:sz w:val="24"/>
        </w:rPr>
        <w:t xml:space="preserve">   - 整流罩分離測試</w:t>
      </w:r>
    </w:p>
    <w:p>
      <w:pPr/>
      <w:r>
        <w:rPr>
          <w:rFonts w:ascii="Arial" w:hAnsi="Arial"/>
          <w:sz w:val="24"/>
        </w:rPr>
        <w:t xml:space="preserve">   - LC-3 發射台設施認證</w:t>
      </w:r>
    </w:p>
    <w:p>
      <w:pPr>
        <w:pStyle w:val="ListNumber"/>
      </w:pPr>
      <w:r>
        <w:rPr>
          <w:rFonts w:ascii="Arial" w:hAnsi="Arial"/>
          <w:b/>
          <w:sz w:val="24"/>
        </w:rPr>
        <w:t>全年: 國防合約公告</w:t>
      </w:r>
    </w:p>
    <w:p>
      <w:pPr/>
      <w:r>
        <w:rPr>
          <w:rFonts w:ascii="Arial" w:hAnsi="Arial"/>
          <w:sz w:val="24"/>
        </w:rPr>
        <w:t xml:space="preserve">   - Space Development Agency (SDA) Tranche 3 競標結果</w:t>
      </w:r>
    </w:p>
    <w:p>
      <w:pPr/>
      <w:r>
        <w:rPr>
          <w:rFonts w:ascii="Arial" w:hAnsi="Arial"/>
          <w:sz w:val="24"/>
        </w:rPr>
        <w:t xml:space="preserve">   - National Reconnaissance Office (NRO) 專案</w:t>
      </w:r>
    </w:p>
    <w:p>
      <w:pPr/>
      <w:r>
        <w:rPr>
          <w:rFonts w:ascii="Arial" w:hAnsi="Arial"/>
          <w:sz w:val="24"/>
        </w:rPr>
        <w:t xml:space="preserve">   - 潛在 Space Force 長期發射服務協議</w:t>
      </w:r>
    </w:p>
    <w:p>
      <w:pPr>
        <w:pStyle w:val="ListNumber"/>
      </w:pPr>
      <w:r>
        <w:rPr>
          <w:rFonts w:ascii="Arial" w:hAnsi="Arial"/>
          <w:b/>
          <w:sz w:val="24"/>
        </w:rPr>
        <w:t>商業訂單擴張:</w:t>
      </w:r>
    </w:p>
    <w:p>
      <w:pPr/>
      <w:r>
        <w:rPr>
          <w:rFonts w:ascii="Arial" w:hAnsi="Arial"/>
          <w:sz w:val="24"/>
        </w:rPr>
        <w:t xml:space="preserve">   - 與 Starlink、Planet Labs、Capella Space 等客戶續約</w:t>
      </w:r>
    </w:p>
    <w:p>
      <w:pPr/>
      <w:r>
        <w:rPr>
          <w:rFonts w:ascii="Arial" w:hAnsi="Arial"/>
          <w:sz w:val="24"/>
        </w:rPr>
        <w:t xml:space="preserve">   - 新興 LEO 星座客戶簽約</w:t>
      </w:r>
    </w:p>
    <w:p>
      <w:r>
        <w:t>__________________________________________________</w:t>
      </w:r>
    </w:p>
    <w:p>
      <w:pPr>
        <w:pStyle w:val="Heading2"/>
      </w:pPr>
      <w:r>
        <w:t>五、2026 年關鍵催化劑時間表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時間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事件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影響程度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預期結果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**2026 Q1**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2025 FY 財報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⭐⭐⭐⭐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營收超預期,毛利率提升,首次正向 EBITDA 指引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**2026 Q1-Q2**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SDA Tranche 3 競標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⭐⭐⭐⭐⭐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潛在 $500M+ 多年期合約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**2026 Q2**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Archimedes 引擎測試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⭐⭐⭐⭐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技術驗證成功,Neutron 首飛時間明確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**2026 Q3**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Q2 財報與全年指引上調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⭐⭐⭐⭐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營收 run-rate 超過 $600M,Space Systems 佔比提升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**2026 Q4**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Neutron 試飛公告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⭐⭐⭐⭐⭐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首飛時間確定為 2027 Q1,市場信心大增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**持續**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每月發射公告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⭐⭐⭐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發射成功率維持 &gt;95%,證明可靠性</w:t>
            </w:r>
          </w:p>
        </w:tc>
      </w:tr>
    </w:tbl>
    <w:p>
      <w:pPr/>
      <w:r>
        <w:rPr>
          <w:rFonts w:ascii="Arial" w:hAnsi="Arial"/>
          <w:b/>
          <w:sz w:val="24"/>
        </w:rPr>
        <w:t>最重要催化劑:</w:t>
      </w:r>
    </w:p>
    <w:p>
      <w:pPr>
        <w:pStyle w:val="ListNumber"/>
      </w:pPr>
      <w:r>
        <w:rPr>
          <w:rFonts w:ascii="Arial" w:hAnsi="Arial"/>
          <w:b/>
          <w:sz w:val="24"/>
        </w:rPr>
        <w:t>SDA Tranche 3 競標勝出:</w:t>
      </w:r>
      <w:r>
        <w:rPr>
          <w:rFonts w:ascii="Arial" w:hAnsi="Arial"/>
          <w:sz w:val="24"/>
        </w:rPr>
        <w:t xml:space="preserve"> 將開啟多年期高毛利國防訂單,顯著改善營收可見度</w:t>
      </w:r>
    </w:p>
    <w:p>
      <w:pPr>
        <w:pStyle w:val="ListNumber"/>
      </w:pPr>
      <w:r>
        <w:rPr>
          <w:rFonts w:ascii="Arial" w:hAnsi="Arial"/>
          <w:b/>
          <w:sz w:val="24"/>
        </w:rPr>
        <w:t>Neutron 首飛成功:</w:t>
      </w:r>
      <w:r>
        <w:rPr>
          <w:rFonts w:ascii="Arial" w:hAnsi="Arial"/>
          <w:sz w:val="24"/>
        </w:rPr>
        <w:t xml:space="preserve"> 證明技術可行性,打開中型火箭市場,潛在市場空間從 $1B 擴大至 $5B+</w:t>
      </w:r>
    </w:p>
    <w:p>
      <w:pPr>
        <w:pStyle w:val="ListNumber"/>
      </w:pPr>
      <w:r>
        <w:rPr>
          <w:rFonts w:ascii="Arial" w:hAnsi="Arial"/>
          <w:b/>
          <w:sz w:val="24"/>
        </w:rPr>
        <w:t>現金流轉正:</w:t>
      </w:r>
      <w:r>
        <w:rPr>
          <w:rFonts w:ascii="Arial" w:hAnsi="Arial"/>
          <w:sz w:val="24"/>
        </w:rPr>
        <w:t xml:space="preserve"> 證明商業模式可持續,消除投資人疑慮</w:t>
      </w:r>
    </w:p>
    <w:p>
      <w:r>
        <w:t>__________________________________________________</w:t>
      </w:r>
    </w:p>
    <w:p>
      <w:pPr>
        <w:pStyle w:val="Heading2"/>
      </w:pPr>
      <w:r>
        <w:t>六、未來方向與政策影響深度分析</w:t>
      </w:r>
    </w:p>
    <w:p>
      <w:pPr>
        <w:pStyle w:val="Heading3"/>
      </w:pPr>
      <w:r>
        <w:t>太空產業政策環境</w:t>
      </w:r>
    </w:p>
    <w:p>
      <w:pPr/>
      <w:r>
        <w:rPr>
          <w:rFonts w:ascii="Arial" w:hAnsi="Arial"/>
          <w:sz w:val="24"/>
        </w:rPr>
        <w:t>#### 1. NASA 預算趨勢</w:t>
      </w:r>
    </w:p>
    <w:p>
      <w:pPr/>
      <w:r>
        <w:rPr>
          <w:rFonts w:ascii="Arial" w:hAnsi="Arial"/>
          <w:b/>
          <w:sz w:val="24"/>
        </w:rPr>
        <w:t>2026 財年 NASA 預算概況:</w:t>
      </w:r>
    </w:p>
    <w:p>
      <w:pPr>
        <w:pStyle w:val="ListBullet"/>
      </w:pPr>
      <w:r>
        <w:rPr>
          <w:rFonts w:ascii="Arial" w:hAnsi="Arial"/>
          <w:sz w:val="24"/>
        </w:rPr>
        <w:t>總預算約 $25B - $27B (具體數字取決於國會批准)</w:t>
      </w:r>
    </w:p>
    <w:p>
      <w:pPr>
        <w:pStyle w:val="ListBullet"/>
      </w:pPr>
      <w:r>
        <w:rPr>
          <w:rFonts w:ascii="Arial" w:hAnsi="Arial"/>
          <w:b/>
          <w:sz w:val="24"/>
        </w:rPr>
        <w:t>商業太空服務 (Commercial Space) 預算:</w:t>
      </w:r>
      <w:r>
        <w:rPr>
          <w:rFonts w:ascii="Arial" w:hAnsi="Arial"/>
          <w:sz w:val="24"/>
        </w:rPr>
        <w:t xml:space="preserve"> 約 $1.5B - $2B</w:t>
      </w:r>
    </w:p>
    <w:p>
      <w:pPr/>
      <w:r>
        <w:rPr>
          <w:rFonts w:ascii="Arial" w:hAnsi="Arial"/>
          <w:sz w:val="24"/>
        </w:rPr>
        <w:t xml:space="preserve">  - Commercial Lunar Payload Services (CLPS)</w:t>
      </w:r>
    </w:p>
    <w:p>
      <w:pPr/>
      <w:r>
        <w:rPr>
          <w:rFonts w:ascii="Arial" w:hAnsi="Arial"/>
          <w:sz w:val="24"/>
        </w:rPr>
        <w:t xml:space="preserve">  - 低軌商業目的地 (CLD) 計劃</w:t>
      </w:r>
    </w:p>
    <w:p>
      <w:pPr/>
      <w:r>
        <w:rPr>
          <w:rFonts w:ascii="Arial" w:hAnsi="Arial"/>
          <w:sz w:val="24"/>
        </w:rPr>
        <w:t xml:space="preserve">  - 商業補給服務 (CRS)</w:t>
      </w:r>
    </w:p>
    <w:p>
      <w:pPr/>
      <w:r>
        <w:rPr>
          <w:rFonts w:ascii="Arial" w:hAnsi="Arial"/>
          <w:b/>
          <w:sz w:val="24"/>
        </w:rPr>
        <w:t>對 Rocket Lab 的影響:</w:t>
      </w:r>
    </w:p>
    <w:p>
      <w:pPr>
        <w:pStyle w:val="ListBullet"/>
      </w:pPr>
      <w:r>
        <w:rPr>
          <w:rFonts w:ascii="Arial" w:hAnsi="Arial"/>
          <w:b/>
          <w:sz w:val="24"/>
        </w:rPr>
        <w:t>Photon 月球任務:</w:t>
      </w:r>
      <w:r>
        <w:rPr>
          <w:rFonts w:ascii="Arial" w:hAnsi="Arial"/>
          <w:sz w:val="24"/>
        </w:rPr>
        <w:t xml:space="preserve"> NASA 已選擇 Photon 作為 CAPSTONE 與未來 Artemis 相關任務的平台</w:t>
      </w:r>
    </w:p>
    <w:p>
      <w:pPr>
        <w:pStyle w:val="ListBullet"/>
      </w:pPr>
      <w:r>
        <w:rPr>
          <w:rFonts w:ascii="Arial" w:hAnsi="Arial"/>
          <w:b/>
          <w:sz w:val="24"/>
        </w:rPr>
        <w:t>潛在機會:</w:t>
      </w:r>
      <w:r>
        <w:rPr>
          <w:rFonts w:ascii="Arial" w:hAnsi="Arial"/>
          <w:sz w:val="24"/>
        </w:rPr>
        <w:t xml:space="preserve"> 月球與火星探測器發射、深空組件供應</w:t>
      </w:r>
    </w:p>
    <w:p>
      <w:pPr>
        <w:pStyle w:val="ListBullet"/>
      </w:pPr>
      <w:r>
        <w:rPr>
          <w:rFonts w:ascii="Arial" w:hAnsi="Arial"/>
          <w:b/>
          <w:sz w:val="24"/>
        </w:rPr>
        <w:t>風險:</w:t>
      </w:r>
      <w:r>
        <w:rPr>
          <w:rFonts w:ascii="Arial" w:hAnsi="Arial"/>
          <w:sz w:val="24"/>
        </w:rPr>
        <w:t xml:space="preserve"> NASA 預算削減可能影響新專案啟動節奏</w:t>
      </w:r>
    </w:p>
    <w:p>
      <w:pPr/>
      <w:r>
        <w:rPr>
          <w:rFonts w:ascii="Arial" w:hAnsi="Arial"/>
          <w:sz w:val="24"/>
        </w:rPr>
        <w:t>#### 2. 國防部 (DoD) 太空支出</w:t>
      </w:r>
    </w:p>
    <w:p>
      <w:pPr/>
      <w:r>
        <w:rPr>
          <w:rFonts w:ascii="Arial" w:hAnsi="Arial"/>
          <w:b/>
          <w:sz w:val="24"/>
        </w:rPr>
        <w:t>Space Force 與 Space Development Agency (SDA) 預算:</w:t>
      </w:r>
    </w:p>
    <w:p>
      <w:pPr>
        <w:pStyle w:val="ListBullet"/>
      </w:pPr>
      <w:r>
        <w:rPr>
          <w:rFonts w:ascii="Arial" w:hAnsi="Arial"/>
          <w:b/>
          <w:sz w:val="24"/>
        </w:rPr>
        <w:t>2026 FY Space Force 預算:</w:t>
      </w:r>
      <w:r>
        <w:rPr>
          <w:rFonts w:ascii="Arial" w:hAnsi="Arial"/>
          <w:sz w:val="24"/>
        </w:rPr>
        <w:t xml:space="preserve"> 約 $30B - $33B (+10-15% YoY)</w:t>
      </w:r>
    </w:p>
    <w:p>
      <w:pPr>
        <w:pStyle w:val="ListBullet"/>
      </w:pPr>
      <w:r>
        <w:rPr>
          <w:rFonts w:ascii="Arial" w:hAnsi="Arial"/>
          <w:b/>
          <w:sz w:val="24"/>
        </w:rPr>
        <w:t>SDA Tranche 2-4 星座建設:</w:t>
      </w:r>
      <w:r>
        <w:rPr>
          <w:rFonts w:ascii="Arial" w:hAnsi="Arial"/>
          <w:sz w:val="24"/>
        </w:rPr>
        <w:t xml:space="preserve"> 未來5年累計支出超過 $20B</w:t>
      </w:r>
    </w:p>
    <w:p>
      <w:pPr>
        <w:pStyle w:val="ListBullet"/>
      </w:pPr>
      <w:r>
        <w:rPr>
          <w:rFonts w:ascii="Arial" w:hAnsi="Arial"/>
          <w:b/>
          <w:sz w:val="24"/>
        </w:rPr>
        <w:t>National Reconnaissance Office (NRO):</w:t>
      </w:r>
      <w:r>
        <w:rPr>
          <w:rFonts w:ascii="Arial" w:hAnsi="Arial"/>
          <w:sz w:val="24"/>
        </w:rPr>
        <w:t xml:space="preserve"> 年度預算 $20B+,大部分為機密專案</w:t>
      </w:r>
    </w:p>
    <w:p>
      <w:pPr/>
      <w:r>
        <w:rPr>
          <w:rFonts w:ascii="Arial" w:hAnsi="Arial"/>
          <w:b/>
          <w:sz w:val="24"/>
        </w:rPr>
        <w:t>Rocket Lab 的競爭優勢:</w:t>
      </w:r>
    </w:p>
    <w:p>
      <w:pPr>
        <w:pStyle w:val="ListNumber"/>
      </w:pPr>
      <w:r>
        <w:rPr>
          <w:rFonts w:ascii="Arial" w:hAnsi="Arial"/>
          <w:b/>
          <w:sz w:val="24"/>
        </w:rPr>
        <w:t>快速響應太空 (Responsive Space):</w:t>
      </w:r>
      <w:r>
        <w:rPr>
          <w:rFonts w:ascii="Arial" w:hAnsi="Arial"/>
          <w:sz w:val="24"/>
        </w:rPr>
        <w:t xml:space="preserve"> Electron 可在短時間內執行戰術發射</w:t>
      </w:r>
    </w:p>
    <w:p>
      <w:pPr>
        <w:pStyle w:val="ListNumber"/>
      </w:pPr>
      <w:r>
        <w:rPr>
          <w:rFonts w:ascii="Arial" w:hAnsi="Arial"/>
          <w:b/>
          <w:sz w:val="24"/>
        </w:rPr>
        <w:t>安全供應鏈:</w:t>
      </w:r>
      <w:r>
        <w:rPr>
          <w:rFonts w:ascii="Arial" w:hAnsi="Arial"/>
          <w:sz w:val="24"/>
        </w:rPr>
        <w:t xml:space="preserve"> 美國本土製造,符合國防採購要求</w:t>
      </w:r>
    </w:p>
    <w:p>
      <w:pPr>
        <w:pStyle w:val="ListNumber"/>
      </w:pPr>
      <w:r>
        <w:rPr>
          <w:rFonts w:ascii="Arial" w:hAnsi="Arial"/>
          <w:b/>
          <w:sz w:val="24"/>
        </w:rPr>
        <w:t>系統整合能力:</w:t>
      </w:r>
      <w:r>
        <w:rPr>
          <w:rFonts w:ascii="Arial" w:hAnsi="Arial"/>
          <w:sz w:val="24"/>
        </w:rPr>
        <w:t xml:space="preserve"> Mandrake-2 證明端到端解決方案能力</w:t>
      </w:r>
    </w:p>
    <w:p>
      <w:pPr>
        <w:pStyle w:val="ListNumber"/>
      </w:pPr>
      <w:r>
        <w:rPr>
          <w:rFonts w:ascii="Arial" w:hAnsi="Arial"/>
          <w:b/>
          <w:sz w:val="24"/>
        </w:rPr>
        <w:t>成本效益:</w:t>
      </w:r>
      <w:r>
        <w:rPr>
          <w:rFonts w:ascii="Arial" w:hAnsi="Arial"/>
          <w:sz w:val="24"/>
        </w:rPr>
        <w:t xml:space="preserve"> 相較傳統承包商 (Lockheed, Northrop Grumman) 更具價格競爭力</w:t>
      </w:r>
    </w:p>
    <w:p>
      <w:pPr/>
      <w:r>
        <w:rPr>
          <w:rFonts w:ascii="Arial" w:hAnsi="Arial"/>
          <w:b/>
          <w:sz w:val="24"/>
        </w:rPr>
        <w:t>2026-2030 潛在國防訂單規模:</w:t>
      </w:r>
      <w:r>
        <w:rPr>
          <w:rFonts w:ascii="Arial" w:hAnsi="Arial"/>
          <w:sz w:val="24"/>
        </w:rPr>
        <w:t xml:space="preserve"> $1B - $2B (累計)</w:t>
      </w:r>
    </w:p>
    <w:p>
      <w:pPr>
        <w:pStyle w:val="ListBullet"/>
      </w:pPr>
      <w:r>
        <w:rPr>
          <w:rFonts w:ascii="Arial" w:hAnsi="Arial"/>
          <w:sz w:val="24"/>
        </w:rPr>
        <w:t>SDA 星座發射與組件供應: $500M - $800M</w:t>
      </w:r>
    </w:p>
    <w:p>
      <w:pPr>
        <w:pStyle w:val="ListBullet"/>
      </w:pPr>
      <w:r>
        <w:rPr>
          <w:rFonts w:ascii="Arial" w:hAnsi="Arial"/>
          <w:sz w:val="24"/>
        </w:rPr>
        <w:t>NRO 機密任務: $200M - $400M</w:t>
      </w:r>
    </w:p>
    <w:p>
      <w:pPr>
        <w:pStyle w:val="ListBullet"/>
      </w:pPr>
      <w:r>
        <w:rPr>
          <w:rFonts w:ascii="Arial" w:hAnsi="Arial"/>
          <w:sz w:val="24"/>
        </w:rPr>
        <w:t>Space Force 戰術響應發射: $300M - $500M</w:t>
      </w:r>
    </w:p>
    <w:p>
      <w:pPr/>
      <w:r>
        <w:rPr>
          <w:rFonts w:ascii="Arial" w:hAnsi="Arial"/>
          <w:sz w:val="24"/>
        </w:rPr>
        <w:t>#### 3. 商業太空監管</w:t>
      </w:r>
    </w:p>
    <w:p>
      <w:pPr/>
      <w:r>
        <w:rPr>
          <w:rFonts w:ascii="Arial" w:hAnsi="Arial"/>
          <w:b/>
          <w:sz w:val="24"/>
        </w:rPr>
        <w:t>當前政策環境 (2026年):</w:t>
      </w:r>
    </w:p>
    <w:p>
      <w:pPr>
        <w:pStyle w:val="ListBullet"/>
      </w:pPr>
      <w:r>
        <w:rPr>
          <w:rFonts w:ascii="Arial" w:hAnsi="Arial"/>
          <w:b/>
          <w:sz w:val="24"/>
        </w:rPr>
        <w:t>發射許可簡化:</w:t>
      </w:r>
      <w:r>
        <w:rPr>
          <w:rFonts w:ascii="Arial" w:hAnsi="Arial"/>
          <w:sz w:val="24"/>
        </w:rPr>
        <w:t xml:space="preserve"> FAA 正推動簡化商業發射許可流程,有利於 Neutron 快速取證</w:t>
      </w:r>
    </w:p>
    <w:p>
      <w:pPr>
        <w:pStyle w:val="ListBullet"/>
      </w:pPr>
      <w:r>
        <w:rPr>
          <w:rFonts w:ascii="Arial" w:hAnsi="Arial"/>
          <w:b/>
          <w:sz w:val="24"/>
        </w:rPr>
        <w:t>頻譜分配:</w:t>
      </w:r>
      <w:r>
        <w:rPr>
          <w:rFonts w:ascii="Arial" w:hAnsi="Arial"/>
          <w:sz w:val="24"/>
        </w:rPr>
        <w:t xml:space="preserve"> FCC 對 LEO 星座頻譜分配趨於寬鬆,刺激衛星需求</w:t>
      </w:r>
    </w:p>
    <w:p>
      <w:pPr>
        <w:pStyle w:val="ListBullet"/>
      </w:pPr>
      <w:r>
        <w:rPr>
          <w:rFonts w:ascii="Arial" w:hAnsi="Arial"/>
          <w:b/>
          <w:sz w:val="24"/>
        </w:rPr>
        <w:t>出口管制:</w:t>
      </w:r>
      <w:r>
        <w:rPr>
          <w:rFonts w:ascii="Arial" w:hAnsi="Arial"/>
          <w:sz w:val="24"/>
        </w:rPr>
        <w:t xml:space="preserve"> ITAR (國際武器貿易條例) 對國防相關技術仍有嚴格限制,但商業發射服務逐步放寬</w:t>
      </w:r>
    </w:p>
    <w:p>
      <w:pPr/>
      <w:r>
        <w:rPr>
          <w:rFonts w:ascii="Arial" w:hAnsi="Arial"/>
          <w:b/>
          <w:sz w:val="24"/>
        </w:rPr>
        <w:t>對 Rocket Lab 的影響:</w:t>
      </w:r>
    </w:p>
    <w:p>
      <w:pPr>
        <w:pStyle w:val="ListBullet"/>
      </w:pPr>
      <w:r>
        <w:rPr>
          <w:rFonts w:ascii="Arial" w:hAnsi="Arial"/>
          <w:b/>
          <w:sz w:val="24"/>
        </w:rPr>
        <w:t>正面:</w:t>
      </w:r>
      <w:r>
        <w:rPr>
          <w:rFonts w:ascii="Arial" w:hAnsi="Arial"/>
          <w:sz w:val="24"/>
        </w:rPr>
        <w:t xml:space="preserve"> 監管簡化加速 Neutron 認證,降低合規成本</w:t>
      </w:r>
    </w:p>
    <w:p>
      <w:pPr>
        <w:pStyle w:val="ListBullet"/>
      </w:pPr>
      <w:r>
        <w:rPr>
          <w:rFonts w:ascii="Arial" w:hAnsi="Arial"/>
          <w:b/>
          <w:sz w:val="24"/>
        </w:rPr>
        <w:t>中性:</w:t>
      </w:r>
      <w:r>
        <w:rPr>
          <w:rFonts w:ascii="Arial" w:hAnsi="Arial"/>
          <w:sz w:val="24"/>
        </w:rPr>
        <w:t xml:space="preserve"> 出口限制影響國際客戶拓展,但國內市場足夠大</w:t>
      </w:r>
    </w:p>
    <w:p>
      <w:pPr/>
      <w:r>
        <w:rPr>
          <w:rFonts w:ascii="Arial" w:hAnsi="Arial"/>
          <w:sz w:val="24"/>
        </w:rPr>
        <w:t>#### 4. 政府政策順風與逆風</w:t>
      </w:r>
    </w:p>
    <w:p>
      <w:pPr/>
      <w:r>
        <w:rPr>
          <w:rFonts w:ascii="Arial" w:hAnsi="Arial"/>
          <w:b/>
          <w:sz w:val="24"/>
        </w:rPr>
        <w:t>順風因素 (Tailwinds):</w:t>
      </w:r>
    </w:p>
    <w:p>
      <w:pPr>
        <w:pStyle w:val="ListNumber"/>
      </w:pPr>
      <w:r>
        <w:rPr>
          <w:rFonts w:ascii="Arial" w:hAnsi="Arial"/>
          <w:b/>
          <w:sz w:val="24"/>
        </w:rPr>
        <w:t>「大國競爭」戰略推動太空投資:</w:t>
      </w:r>
    </w:p>
    <w:p>
      <w:pPr/>
      <w:r>
        <w:rPr>
          <w:rFonts w:ascii="Arial" w:hAnsi="Arial"/>
          <w:sz w:val="24"/>
        </w:rPr>
        <w:t xml:space="preserve">   - 美中太空競賽加劇,政府加大對商業太空公司支持</w:t>
      </w:r>
    </w:p>
    <w:p>
      <w:pPr/>
      <w:r>
        <w:rPr>
          <w:rFonts w:ascii="Arial" w:hAnsi="Arial"/>
          <w:sz w:val="24"/>
        </w:rPr>
        <w:t xml:space="preserve">   - 2026年預計國會兩黨對太空預算保持支持態度</w:t>
      </w:r>
    </w:p>
    <w:p>
      <w:pPr>
        <w:pStyle w:val="ListNumber"/>
      </w:pPr>
      <w:r>
        <w:rPr>
          <w:rFonts w:ascii="Arial" w:hAnsi="Arial"/>
          <w:b/>
          <w:sz w:val="24"/>
        </w:rPr>
        <w:t>商業化優先政策:</w:t>
      </w:r>
    </w:p>
    <w:p>
      <w:pPr/>
      <w:r>
        <w:rPr>
          <w:rFonts w:ascii="Arial" w:hAnsi="Arial"/>
          <w:sz w:val="24"/>
        </w:rPr>
        <w:t xml:space="preserve">   - NASA 與 DoD 持續推動「購買服務而非資產」(buy-service-not-asset) 模式</w:t>
      </w:r>
    </w:p>
    <w:p>
      <w:pPr/>
      <w:r>
        <w:rPr>
          <w:rFonts w:ascii="Arial" w:hAnsi="Arial"/>
          <w:sz w:val="24"/>
        </w:rPr>
        <w:t xml:space="preserve">   - 有利於像 Rocket Lab 這樣的私營公司</w:t>
      </w:r>
    </w:p>
    <w:p>
      <w:pPr>
        <w:pStyle w:val="ListNumber"/>
      </w:pPr>
      <w:r>
        <w:rPr>
          <w:rFonts w:ascii="Arial" w:hAnsi="Arial"/>
          <w:b/>
          <w:sz w:val="24"/>
        </w:rPr>
        <w:t>中型火箭需求缺口:</w:t>
      </w:r>
    </w:p>
    <w:p>
      <w:pPr/>
      <w:r>
        <w:rPr>
          <w:rFonts w:ascii="Arial" w:hAnsi="Arial"/>
          <w:sz w:val="24"/>
        </w:rPr>
        <w:t xml:space="preserve">   - SpaceX Falcon 9 (22噸) 與小型火箭 (1噸以下) 之間存在市場空缺</w:t>
      </w:r>
    </w:p>
    <w:p>
      <w:pPr/>
      <w:r>
        <w:rPr>
          <w:rFonts w:ascii="Arial" w:hAnsi="Arial"/>
          <w:sz w:val="24"/>
        </w:rPr>
        <w:t xml:space="preserve">   - Neutron (8噸) 填補此缺口,政府與商業客戶均有需求</w:t>
      </w:r>
    </w:p>
    <w:p>
      <w:pPr>
        <w:pStyle w:val="ListNumber"/>
      </w:pPr>
      <w:r>
        <w:rPr>
          <w:rFonts w:ascii="Arial" w:hAnsi="Arial"/>
          <w:b/>
          <w:sz w:val="24"/>
        </w:rPr>
        <w:t>供應鏈韌性要求:</w:t>
      </w:r>
    </w:p>
    <w:p>
      <w:pPr/>
      <w:r>
        <w:rPr>
          <w:rFonts w:ascii="Arial" w:hAnsi="Arial"/>
          <w:sz w:val="24"/>
        </w:rPr>
        <w:t xml:space="preserve">   - 政府鼓勵多元化供應商,避免過度依賴 SpaceX</w:t>
      </w:r>
    </w:p>
    <w:p>
      <w:pPr/>
      <w:r>
        <w:rPr>
          <w:rFonts w:ascii="Arial" w:hAnsi="Arial"/>
          <w:sz w:val="24"/>
        </w:rPr>
        <w:t xml:space="preserve">   - Rocket Lab 成為「Plan B」的首選</w:t>
      </w:r>
    </w:p>
    <w:p>
      <w:pPr/>
      <w:r>
        <w:rPr>
          <w:rFonts w:ascii="Arial" w:hAnsi="Arial"/>
          <w:b/>
          <w:sz w:val="24"/>
        </w:rPr>
        <w:t>逆風因素 (Headwinds):</w:t>
      </w:r>
    </w:p>
    <w:p>
      <w:pPr>
        <w:pStyle w:val="ListNumber"/>
      </w:pPr>
      <w:r>
        <w:rPr>
          <w:rFonts w:ascii="Arial" w:hAnsi="Arial"/>
          <w:b/>
          <w:sz w:val="24"/>
        </w:rPr>
        <w:t>SpaceX 的主導地位:</w:t>
      </w:r>
    </w:p>
    <w:p>
      <w:pPr/>
      <w:r>
        <w:rPr>
          <w:rFonts w:ascii="Arial" w:hAnsi="Arial"/>
          <w:sz w:val="24"/>
        </w:rPr>
        <w:t xml:space="preserve">   - SpaceX 2025年完成超過 100 次發射,成本持續下降</w:t>
      </w:r>
    </w:p>
    <w:p>
      <w:pPr/>
      <w:r>
        <w:rPr>
          <w:rFonts w:ascii="Arial" w:hAnsi="Arial"/>
          <w:sz w:val="24"/>
        </w:rPr>
        <w:t xml:space="preserve">   - Starlink 自建生態系統,減少對外部發射服務需求</w:t>
      </w:r>
    </w:p>
    <w:p>
      <w:pPr>
        <w:pStyle w:val="ListNumber"/>
      </w:pPr>
      <w:r>
        <w:rPr>
          <w:rFonts w:ascii="Arial" w:hAnsi="Arial"/>
          <w:b/>
          <w:sz w:val="24"/>
        </w:rPr>
        <w:t>競爭加劇:</w:t>
      </w:r>
    </w:p>
    <w:p>
      <w:pPr/>
      <w:r>
        <w:rPr>
          <w:rFonts w:ascii="Arial" w:hAnsi="Arial"/>
          <w:sz w:val="24"/>
        </w:rPr>
        <w:t xml:space="preserve">   - Firefly Aerospace、Relativity Space、ABL Space Systems 等新興競爭者</w:t>
      </w:r>
    </w:p>
    <w:p>
      <w:pPr/>
      <w:r>
        <w:rPr>
          <w:rFonts w:ascii="Arial" w:hAnsi="Arial"/>
          <w:sz w:val="24"/>
        </w:rPr>
        <w:t xml:space="preserve">   - 中國國有與民營火箭公司 (長征、星際榮耀等) 低價競爭</w:t>
      </w:r>
    </w:p>
    <w:p>
      <w:pPr>
        <w:pStyle w:val="ListNumber"/>
      </w:pPr>
      <w:r>
        <w:rPr>
          <w:rFonts w:ascii="Arial" w:hAnsi="Arial"/>
          <w:b/>
          <w:sz w:val="24"/>
        </w:rPr>
        <w:t>技術風險:</w:t>
      </w:r>
    </w:p>
    <w:p>
      <w:pPr/>
      <w:r>
        <w:rPr>
          <w:rFonts w:ascii="Arial" w:hAnsi="Arial"/>
          <w:sz w:val="24"/>
        </w:rPr>
        <w:t xml:space="preserve">   - Neutron 首飛可能延誤或失敗,影響信心</w:t>
      </w:r>
    </w:p>
    <w:p>
      <w:pPr/>
      <w:r>
        <w:rPr>
          <w:rFonts w:ascii="Arial" w:hAnsi="Arial"/>
          <w:sz w:val="24"/>
        </w:rPr>
        <w:t xml:space="preserve">   - 可重複使用技術難度高,成本節省可能不如預期</w:t>
      </w:r>
    </w:p>
    <w:p>
      <w:pPr>
        <w:pStyle w:val="ListNumber"/>
      </w:pPr>
      <w:r>
        <w:rPr>
          <w:rFonts w:ascii="Arial" w:hAnsi="Arial"/>
          <w:b/>
          <w:sz w:val="24"/>
        </w:rPr>
        <w:t>宏觀經濟與財政壓力:</w:t>
      </w:r>
    </w:p>
    <w:p>
      <w:pPr/>
      <w:r>
        <w:rPr>
          <w:rFonts w:ascii="Arial" w:hAnsi="Arial"/>
          <w:sz w:val="24"/>
        </w:rPr>
        <w:t xml:space="preserve">   - 美國債務上限爭議可能影響 NASA/DoD 預算</w:t>
      </w:r>
    </w:p>
    <w:p>
      <w:pPr/>
      <w:r>
        <w:rPr>
          <w:rFonts w:ascii="Arial" w:hAnsi="Arial"/>
          <w:sz w:val="24"/>
        </w:rPr>
        <w:t xml:space="preserve">   - 經濟衰退可能削減商業衛星投資</w:t>
      </w:r>
    </w:p>
    <w:p>
      <w:pPr>
        <w:pStyle w:val="Heading3"/>
      </w:pPr>
      <w:r>
        <w:t>成長率變化預測</w:t>
      </w:r>
    </w:p>
    <w:p>
      <w:pPr/>
      <w:r>
        <w:rPr>
          <w:rFonts w:ascii="Arial" w:hAnsi="Arial"/>
          <w:b/>
          <w:sz w:val="24"/>
        </w:rPr>
        <w:t>基準情境 (Base Case):</w:t>
      </w:r>
    </w:p>
    <w:p>
      <w:pPr>
        <w:pStyle w:val="ListBullet"/>
      </w:pPr>
      <w:r>
        <w:rPr>
          <w:rFonts w:ascii="Arial" w:hAnsi="Arial"/>
          <w:b/>
          <w:sz w:val="24"/>
        </w:rPr>
        <w:t>2026-2027 營收 CAGR:</w:t>
      </w:r>
      <w:r>
        <w:rPr>
          <w:rFonts w:ascii="Arial" w:hAnsi="Arial"/>
          <w:sz w:val="24"/>
        </w:rPr>
        <w:t xml:space="preserve"> +45-50%</w:t>
      </w:r>
    </w:p>
    <w:p>
      <w:pPr>
        <w:pStyle w:val="ListBullet"/>
      </w:pPr>
      <w:r>
        <w:rPr>
          <w:rFonts w:ascii="Arial" w:hAnsi="Arial"/>
          <w:b/>
          <w:sz w:val="24"/>
        </w:rPr>
        <w:t>2028-2030 營收 CAGR:</w:t>
      </w:r>
      <w:r>
        <w:rPr>
          <w:rFonts w:ascii="Arial" w:hAnsi="Arial"/>
          <w:sz w:val="24"/>
        </w:rPr>
        <w:t xml:space="preserve"> +25-30%</w:t>
      </w:r>
    </w:p>
    <w:p>
      <w:pPr>
        <w:pStyle w:val="ListBullet"/>
      </w:pPr>
      <w:r>
        <w:rPr>
          <w:rFonts w:ascii="Arial" w:hAnsi="Arial"/>
          <w:b/>
          <w:sz w:val="24"/>
        </w:rPr>
        <w:t>2030 營收目標:</w:t>
      </w:r>
      <w:r>
        <w:rPr>
          <w:rFonts w:ascii="Arial" w:hAnsi="Arial"/>
          <w:sz w:val="24"/>
        </w:rPr>
        <w:t xml:space="preserve"> $2.5B - $3B</w:t>
      </w:r>
    </w:p>
    <w:p>
      <w:pPr>
        <w:pStyle w:val="ListBullet"/>
      </w:pPr>
      <w:r>
        <w:rPr>
          <w:rFonts w:ascii="Arial" w:hAnsi="Arial"/>
          <w:b/>
          <w:sz w:val="24"/>
        </w:rPr>
        <w:t>驅動力:</w:t>
      </w:r>
      <w:r>
        <w:rPr>
          <w:rFonts w:ascii="Arial" w:hAnsi="Arial"/>
          <w:sz w:val="24"/>
        </w:rPr>
        <w:t xml:space="preserve"> Neutron 商業化成功、國防訂單增長、Space Systems 業務擴張</w:t>
      </w:r>
    </w:p>
    <w:p>
      <w:pPr/>
      <w:r>
        <w:rPr>
          <w:rFonts w:ascii="Arial" w:hAnsi="Arial"/>
          <w:b/>
          <w:sz w:val="24"/>
        </w:rPr>
        <w:t>樂觀情境 (Bull Case):</w:t>
      </w:r>
    </w:p>
    <w:p>
      <w:pPr>
        <w:pStyle w:val="ListBullet"/>
      </w:pPr>
      <w:r>
        <w:rPr>
          <w:rFonts w:ascii="Arial" w:hAnsi="Arial"/>
          <w:b/>
          <w:sz w:val="24"/>
        </w:rPr>
        <w:t>觸發條件:</w:t>
      </w:r>
      <w:r>
        <w:rPr>
          <w:rFonts w:ascii="Arial" w:hAnsi="Arial"/>
          <w:sz w:val="24"/>
        </w:rPr>
        <w:t xml:space="preserve"> Neutron 首飛成功、SDA 大單、商業星座爆發</w:t>
      </w:r>
    </w:p>
    <w:p>
      <w:pPr>
        <w:pStyle w:val="ListBullet"/>
      </w:pPr>
      <w:r>
        <w:rPr>
          <w:rFonts w:ascii="Arial" w:hAnsi="Arial"/>
          <w:b/>
          <w:sz w:val="24"/>
        </w:rPr>
        <w:t>2026-2030 營收 CAGR:</w:t>
      </w:r>
      <w:r>
        <w:rPr>
          <w:rFonts w:ascii="Arial" w:hAnsi="Arial"/>
          <w:sz w:val="24"/>
        </w:rPr>
        <w:t xml:space="preserve"> +60%</w:t>
      </w:r>
    </w:p>
    <w:p>
      <w:pPr>
        <w:pStyle w:val="ListBullet"/>
      </w:pPr>
      <w:r>
        <w:rPr>
          <w:rFonts w:ascii="Arial" w:hAnsi="Arial"/>
          <w:b/>
          <w:sz w:val="24"/>
        </w:rPr>
        <w:t>2030 營收:</w:t>
      </w:r>
      <w:r>
        <w:rPr>
          <w:rFonts w:ascii="Arial" w:hAnsi="Arial"/>
          <w:sz w:val="24"/>
        </w:rPr>
        <w:t xml:space="preserve"> $4B+</w:t>
      </w:r>
    </w:p>
    <w:p>
      <w:pPr>
        <w:pStyle w:val="ListBullet"/>
      </w:pPr>
      <w:r>
        <w:rPr>
          <w:rFonts w:ascii="Arial" w:hAnsi="Arial"/>
          <w:b/>
          <w:sz w:val="24"/>
        </w:rPr>
        <w:t>股價目標:</w:t>
      </w:r>
      <w:r>
        <w:rPr>
          <w:rFonts w:ascii="Arial" w:hAnsi="Arial"/>
          <w:sz w:val="24"/>
        </w:rPr>
        <w:t xml:space="preserve"> $150 - $200 (2027年)</w:t>
      </w:r>
    </w:p>
    <w:p>
      <w:pPr/>
      <w:r>
        <w:rPr>
          <w:rFonts w:ascii="Arial" w:hAnsi="Arial"/>
          <w:b/>
          <w:sz w:val="24"/>
        </w:rPr>
        <w:t>悲觀情境 (Bear Case):</w:t>
      </w:r>
    </w:p>
    <w:p>
      <w:pPr>
        <w:pStyle w:val="ListBullet"/>
      </w:pPr>
      <w:r>
        <w:rPr>
          <w:rFonts w:ascii="Arial" w:hAnsi="Arial"/>
          <w:b/>
          <w:sz w:val="24"/>
        </w:rPr>
        <w:t>觸發條件:</w:t>
      </w:r>
      <w:r>
        <w:rPr>
          <w:rFonts w:ascii="Arial" w:hAnsi="Arial"/>
          <w:sz w:val="24"/>
        </w:rPr>
        <w:t xml:space="preserve"> Neutron 多次延誤、重大發射失敗、國防預算削減</w:t>
      </w:r>
    </w:p>
    <w:p>
      <w:pPr>
        <w:pStyle w:val="ListBullet"/>
      </w:pPr>
      <w:r>
        <w:rPr>
          <w:rFonts w:ascii="Arial" w:hAnsi="Arial"/>
          <w:b/>
          <w:sz w:val="24"/>
        </w:rPr>
        <w:t>2026-2030 營收 CAGR:</w:t>
      </w:r>
      <w:r>
        <w:rPr>
          <w:rFonts w:ascii="Arial" w:hAnsi="Arial"/>
          <w:sz w:val="24"/>
        </w:rPr>
        <w:t xml:space="preserve"> +15-20%</w:t>
      </w:r>
    </w:p>
    <w:p>
      <w:pPr>
        <w:pStyle w:val="ListBullet"/>
      </w:pPr>
      <w:r>
        <w:rPr>
          <w:rFonts w:ascii="Arial" w:hAnsi="Arial"/>
          <w:b/>
          <w:sz w:val="24"/>
        </w:rPr>
        <w:t>2030 營收:</w:t>
      </w:r>
      <w:r>
        <w:rPr>
          <w:rFonts w:ascii="Arial" w:hAnsi="Arial"/>
          <w:sz w:val="24"/>
        </w:rPr>
        <w:t xml:space="preserve"> $1.2B - $1.5B</w:t>
      </w:r>
    </w:p>
    <w:p>
      <w:pPr>
        <w:pStyle w:val="ListBullet"/>
      </w:pPr>
      <w:r>
        <w:rPr>
          <w:rFonts w:ascii="Arial" w:hAnsi="Arial"/>
          <w:b/>
          <w:sz w:val="24"/>
        </w:rPr>
        <w:t>股價風險:</w:t>
      </w:r>
      <w:r>
        <w:rPr>
          <w:rFonts w:ascii="Arial" w:hAnsi="Arial"/>
          <w:sz w:val="24"/>
        </w:rPr>
        <w:t xml:space="preserve"> $30 - $50</w:t>
      </w:r>
    </w:p>
    <w:p>
      <w:pPr/>
      <w:r>
        <w:rPr>
          <w:rFonts w:ascii="Arial" w:hAnsi="Arial"/>
          <w:b/>
          <w:sz w:val="24"/>
        </w:rPr>
        <w:t>政策影響評估:</w:t>
      </w:r>
    </w:p>
    <w:p>
      <w:pPr>
        <w:pStyle w:val="ListBullet"/>
      </w:pPr>
      <w:r>
        <w:rPr>
          <w:rFonts w:ascii="Arial" w:hAnsi="Arial"/>
          <w:b/>
          <w:sz w:val="24"/>
        </w:rPr>
        <w:t>淨影響: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正面且顯著</w:t>
      </w:r>
    </w:p>
    <w:p>
      <w:pPr>
        <w:pStyle w:val="ListBullet"/>
      </w:pPr>
      <w:r>
        <w:rPr>
          <w:rFonts w:ascii="Arial" w:hAnsi="Arial"/>
          <w:b/>
          <w:sz w:val="24"/>
        </w:rPr>
        <w:t>政策貢獻營收比重:</w:t>
      </w:r>
      <w:r>
        <w:rPr>
          <w:rFonts w:ascii="Arial" w:hAnsi="Arial"/>
          <w:sz w:val="24"/>
        </w:rPr>
        <w:t xml:space="preserve"> 預計 2026-2030 年間,政府相關業務 (NASA + DoD) 將貢獻總營收的 </w:t>
      </w:r>
      <w:r>
        <w:rPr>
          <w:rFonts w:ascii="Arial" w:hAnsi="Arial"/>
          <w:b/>
          <w:sz w:val="24"/>
        </w:rPr>
        <w:t>40-50%</w:t>
      </w:r>
    </w:p>
    <w:p>
      <w:pPr>
        <w:pStyle w:val="ListBullet"/>
      </w:pPr>
      <w:r>
        <w:rPr>
          <w:rFonts w:ascii="Arial" w:hAnsi="Arial"/>
          <w:b/>
          <w:sz w:val="24"/>
        </w:rPr>
        <w:t>成長率提升:</w:t>
      </w:r>
      <w:r>
        <w:rPr>
          <w:rFonts w:ascii="Arial" w:hAnsi="Arial"/>
          <w:sz w:val="24"/>
        </w:rPr>
        <w:t xml:space="preserve"> 政策支持預計使營收 CAGR 提升 </w:t>
      </w:r>
      <w:r>
        <w:rPr>
          <w:rFonts w:ascii="Arial" w:hAnsi="Arial"/>
          <w:b/>
          <w:sz w:val="24"/>
        </w:rPr>
        <w:t>10-15 個百分點</w:t>
      </w:r>
    </w:p>
    <w:p>
      <w:r>
        <w:t>__________________________________________________</w:t>
      </w:r>
    </w:p>
    <w:p>
      <w:pPr>
        <w:pStyle w:val="Heading2"/>
      </w:pPr>
      <w:r>
        <w:t>七、財務比率與估值分析</w:t>
      </w:r>
    </w:p>
    <w:p>
      <w:pPr>
        <w:pStyle w:val="Heading3"/>
      </w:pPr>
      <w:r>
        <w:t>關鍵財務指標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指標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2024 FY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2025 Q3 TTM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2026E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行業平均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**毛利率**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26.6%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32.0%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35%+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30-40%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**營業利潤率**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-43.5%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-31.2%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-20%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-10-5%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**淨利率**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-43.6%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-35.6%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-18%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-5-10%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**ROE**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-49.7%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-23.2%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-15%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5-15%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**ROA**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-16.1%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-8.5%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-6%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2-8%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**資產周轉率**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0.37x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0.25x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0.50x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0.4-0.8x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**流動比率**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2.04x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3.50x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2.5x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1.5-2.5x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**負債/權益比**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1.22x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0.40x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0.50x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0.5-1.5x</w:t>
            </w:r>
          </w:p>
        </w:tc>
      </w:tr>
    </w:tbl>
    <w:p>
      <w:pPr/>
      <w:r>
        <w:rPr>
          <w:rFonts w:ascii="Arial" w:hAnsi="Arial"/>
          <w:b/>
          <w:sz w:val="24"/>
        </w:rPr>
        <w:t>關鍵觀察:</w:t>
      </w:r>
    </w:p>
    <w:p>
      <w:pPr>
        <w:pStyle w:val="ListBullet"/>
      </w:pPr>
      <w:r>
        <w:rPr>
          <w:rFonts w:ascii="Arial" w:hAnsi="Arial"/>
          <w:b/>
          <w:sz w:val="24"/>
        </w:rPr>
        <w:t>毛利率持續提升:</w:t>
      </w:r>
      <w:r>
        <w:rPr>
          <w:rFonts w:ascii="Arial" w:hAnsi="Arial"/>
          <w:sz w:val="24"/>
        </w:rPr>
        <w:t xml:space="preserve"> 從 2022 年的 9% 提升至 2025 年的 32%,顯示規模經濟與產品組合改善</w:t>
      </w:r>
    </w:p>
    <w:p>
      <w:pPr>
        <w:pStyle w:val="ListBullet"/>
      </w:pPr>
      <w:r>
        <w:rPr>
          <w:rFonts w:ascii="Arial" w:hAnsi="Arial"/>
          <w:b/>
          <w:sz w:val="24"/>
        </w:rPr>
        <w:t>虧損收窄:</w:t>
      </w:r>
      <w:r>
        <w:rPr>
          <w:rFonts w:ascii="Arial" w:hAnsi="Arial"/>
          <w:sz w:val="24"/>
        </w:rPr>
        <w:t xml:space="preserve"> 營業利潤率從 -43.5% 改善至 -31.2%,2026 年有望進一步收窄至 -20%</w:t>
      </w:r>
    </w:p>
    <w:p>
      <w:pPr>
        <w:pStyle w:val="ListBullet"/>
      </w:pPr>
      <w:r>
        <w:rPr>
          <w:rFonts w:ascii="Arial" w:hAnsi="Arial"/>
          <w:b/>
          <w:sz w:val="24"/>
        </w:rPr>
        <w:t>資產負債表健康:</w:t>
      </w:r>
      <w:r>
        <w:rPr>
          <w:rFonts w:ascii="Arial" w:hAnsi="Arial"/>
          <w:sz w:val="24"/>
        </w:rPr>
        <w:t xml:space="preserve"> 流動比率 3.5x,短期無財務風險</w:t>
      </w:r>
    </w:p>
    <w:p>
      <w:pPr>
        <w:pStyle w:val="Heading3"/>
      </w:pPr>
      <w:r>
        <w:t>估值分析</w:t>
      </w:r>
    </w:p>
    <w:p>
      <w:pPr/>
      <w:r>
        <w:rPr>
          <w:rFonts w:ascii="Arial" w:hAnsi="Arial"/>
          <w:b/>
          <w:sz w:val="24"/>
        </w:rPr>
        <w:t>當前估值水平 (股價 $74.42):</w:t>
      </w:r>
    </w:p>
    <w:p>
      <w:pPr>
        <w:pStyle w:val="ListBullet"/>
      </w:pPr>
      <w:r>
        <w:rPr>
          <w:rFonts w:ascii="Arial" w:hAnsi="Arial"/>
          <w:b/>
          <w:sz w:val="24"/>
        </w:rPr>
        <w:t>市值:</w:t>
      </w:r>
      <w:r>
        <w:rPr>
          <w:rFonts w:ascii="Arial" w:hAnsi="Arial"/>
          <w:sz w:val="24"/>
        </w:rPr>
        <w:t xml:space="preserve"> $39.75B</w:t>
      </w:r>
    </w:p>
    <w:p>
      <w:pPr>
        <w:pStyle w:val="ListBullet"/>
      </w:pPr>
      <w:r>
        <w:rPr>
          <w:rFonts w:ascii="Arial" w:hAnsi="Arial"/>
          <w:b/>
          <w:sz w:val="24"/>
        </w:rPr>
        <w:t>企業價值 (EV):</w:t>
      </w:r>
      <w:r>
        <w:rPr>
          <w:rFonts w:ascii="Arial" w:hAnsi="Arial"/>
          <w:sz w:val="24"/>
        </w:rPr>
        <w:t xml:space="preserve"> $39.3B</w:t>
      </w:r>
    </w:p>
    <w:p>
      <w:pPr>
        <w:pStyle w:val="ListBullet"/>
      </w:pPr>
      <w:r>
        <w:rPr>
          <w:rFonts w:ascii="Arial" w:hAnsi="Arial"/>
          <w:b/>
          <w:sz w:val="24"/>
        </w:rPr>
        <w:t>EV/營收 (TTM):</w:t>
      </w:r>
      <w:r>
        <w:rPr>
          <w:rFonts w:ascii="Arial" w:hAnsi="Arial"/>
          <w:sz w:val="24"/>
        </w:rPr>
        <w:t xml:space="preserve"> 70.9x</w:t>
      </w:r>
    </w:p>
    <w:p>
      <w:pPr>
        <w:pStyle w:val="ListBullet"/>
      </w:pPr>
      <w:r>
        <w:rPr>
          <w:rFonts w:ascii="Arial" w:hAnsi="Arial"/>
          <w:b/>
          <w:sz w:val="24"/>
        </w:rPr>
        <w:t>EV/營收 (2026E):</w:t>
      </w:r>
      <w:r>
        <w:rPr>
          <w:rFonts w:ascii="Arial" w:hAnsi="Arial"/>
          <w:sz w:val="24"/>
        </w:rPr>
        <w:t xml:space="preserve"> 44.1x</w:t>
      </w:r>
    </w:p>
    <w:p>
      <w:pPr>
        <w:pStyle w:val="ListBullet"/>
      </w:pPr>
      <w:r>
        <w:rPr>
          <w:rFonts w:ascii="Arial" w:hAnsi="Arial"/>
          <w:b/>
          <w:sz w:val="24"/>
        </w:rPr>
        <w:t>EV/營收 (2027E):</w:t>
      </w:r>
      <w:r>
        <w:rPr>
          <w:rFonts w:ascii="Arial" w:hAnsi="Arial"/>
          <w:sz w:val="24"/>
        </w:rPr>
        <w:t xml:space="preserve"> 31.4x</w:t>
      </w:r>
    </w:p>
    <w:p>
      <w:pPr/>
      <w:r>
        <w:rPr>
          <w:rFonts w:ascii="Arial" w:hAnsi="Arial"/>
          <w:b/>
          <w:sz w:val="24"/>
        </w:rPr>
        <w:t>同業比較: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公司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市值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EV/營收 (NTM)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營收成長率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毛利率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**Rocket Lab**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$39.8B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44.1x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+60%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32%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SpaceX (私有)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~$350B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~25x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+40%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50%+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Virgin Galactic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$1.5B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無意義 (虧損)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負值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Astra Space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$0.1B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業務暫停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N/A</w:t>
            </w:r>
          </w:p>
        </w:tc>
      </w:tr>
    </w:tbl>
    <w:p>
      <w:pPr/>
      <w:r>
        <w:rPr>
          <w:rFonts w:ascii="Arial" w:hAnsi="Arial"/>
          <w:b/>
          <w:sz w:val="24"/>
        </w:rPr>
        <w:t>估值邏輯:</w:t>
      </w:r>
    </w:p>
    <w:p>
      <w:pPr>
        <w:pStyle w:val="ListBullet"/>
      </w:pPr>
      <w:r>
        <w:rPr>
          <w:rFonts w:ascii="Arial" w:hAnsi="Arial"/>
          <w:b/>
          <w:sz w:val="24"/>
        </w:rPr>
        <w:t>高估值合理性:</w:t>
      </w:r>
    </w:p>
    <w:p>
      <w:pPr/>
      <w:r>
        <w:rPr>
          <w:rFonts w:ascii="Arial" w:hAnsi="Arial"/>
          <w:sz w:val="24"/>
        </w:rPr>
        <w:t xml:space="preserve">  - 唯一可投資的高成長太空公司 (SpaceX 未上市)</w:t>
      </w:r>
    </w:p>
    <w:p>
      <w:pPr/>
      <w:r>
        <w:rPr>
          <w:rFonts w:ascii="Arial" w:hAnsi="Arial"/>
          <w:sz w:val="24"/>
        </w:rPr>
        <w:t xml:space="preserve">  - 2026-2030 CAGR +45% 支撐高乘數</w:t>
      </w:r>
    </w:p>
    <w:p>
      <w:pPr/>
      <w:r>
        <w:rPr>
          <w:rFonts w:ascii="Arial" w:hAnsi="Arial"/>
          <w:sz w:val="24"/>
        </w:rPr>
        <w:t xml:space="preserve">  - Neutron 潛在市場空間巨大 (TAM $10B+)</w:t>
      </w:r>
    </w:p>
    <w:p>
      <w:pPr>
        <w:pStyle w:val="ListBullet"/>
      </w:pPr>
      <w:r>
        <w:rPr>
          <w:rFonts w:ascii="Arial" w:hAnsi="Arial"/>
          <w:b/>
          <w:sz w:val="24"/>
        </w:rPr>
        <w:t>風險因素:</w:t>
      </w:r>
    </w:p>
    <w:p>
      <w:pPr/>
      <w:r>
        <w:rPr>
          <w:rFonts w:ascii="Arial" w:hAnsi="Arial"/>
          <w:sz w:val="24"/>
        </w:rPr>
        <w:t xml:space="preserve">  - 估值已 price-in 大部分成長預期</w:t>
      </w:r>
    </w:p>
    <w:p>
      <w:pPr/>
      <w:r>
        <w:rPr>
          <w:rFonts w:ascii="Arial" w:hAnsi="Arial"/>
          <w:sz w:val="24"/>
        </w:rPr>
        <w:t xml:space="preserve">  - Neutron 延誤或失敗將導致估值壓縮</w:t>
      </w:r>
    </w:p>
    <w:p>
      <w:pPr/>
      <w:r>
        <w:rPr>
          <w:rFonts w:ascii="Arial" w:hAnsi="Arial"/>
          <w:b/>
          <w:sz w:val="24"/>
        </w:rPr>
        <w:t>目標價與評級:</w:t>
      </w:r>
    </w:p>
    <w:p>
      <w:pPr/>
      <w:r>
        <w:rPr>
          <w:rFonts w:ascii="Arial" w:hAnsi="Arial"/>
          <w:b/>
          <w:sz w:val="24"/>
        </w:rPr>
        <w:t>12個月目標價 (2027 Q1):</w:t>
      </w:r>
    </w:p>
    <w:p>
      <w:pPr>
        <w:pStyle w:val="ListBullet"/>
      </w:pPr>
      <w:r>
        <w:rPr>
          <w:rFonts w:ascii="Arial" w:hAnsi="Arial"/>
          <w:b/>
          <w:sz w:val="24"/>
        </w:rPr>
        <w:t>樂觀:</w:t>
      </w:r>
      <w:r>
        <w:rPr>
          <w:rFonts w:ascii="Arial" w:hAnsi="Arial"/>
          <w:sz w:val="24"/>
        </w:rPr>
        <w:t xml:space="preserve"> $120 (基於 2027E 營收 $1.25B,EV/Sales 35x)</w:t>
      </w:r>
    </w:p>
    <w:p>
      <w:pPr>
        <w:pStyle w:val="ListBullet"/>
      </w:pPr>
      <w:r>
        <w:rPr>
          <w:rFonts w:ascii="Arial" w:hAnsi="Arial"/>
          <w:b/>
          <w:sz w:val="24"/>
        </w:rPr>
        <w:t>中性:</w:t>
      </w:r>
      <w:r>
        <w:rPr>
          <w:rFonts w:ascii="Arial" w:hAnsi="Arial"/>
          <w:sz w:val="24"/>
        </w:rPr>
        <w:t xml:space="preserve"> $85 (基於 2027E 營收 $1.25B,EV/Sales 25x)</w:t>
      </w:r>
    </w:p>
    <w:p>
      <w:pPr>
        <w:pStyle w:val="ListBullet"/>
      </w:pPr>
      <w:r>
        <w:rPr>
          <w:rFonts w:ascii="Arial" w:hAnsi="Arial"/>
          <w:b/>
          <w:sz w:val="24"/>
        </w:rPr>
        <w:t>悲觀:</w:t>
      </w:r>
      <w:r>
        <w:rPr>
          <w:rFonts w:ascii="Arial" w:hAnsi="Arial"/>
          <w:sz w:val="24"/>
        </w:rPr>
        <w:t xml:space="preserve"> $50 (基於 Neutron 延誤,營收不達預期)</w:t>
      </w:r>
    </w:p>
    <w:p>
      <w:pPr/>
      <w:r>
        <w:rPr>
          <w:rFonts w:ascii="Arial" w:hAnsi="Arial"/>
          <w:b/>
          <w:sz w:val="24"/>
        </w:rPr>
        <w:t>投資評級: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買進 (Buy)</w:t>
      </w:r>
      <w:r>
        <w:rPr>
          <w:rFonts w:ascii="Arial" w:hAnsi="Arial"/>
          <w:sz w:val="24"/>
        </w:rPr>
        <w:t xml:space="preserve"> - 謹慎樂觀</w:t>
      </w:r>
    </w:p>
    <w:p>
      <w:pPr>
        <w:pStyle w:val="ListBullet"/>
      </w:pPr>
      <w:r>
        <w:rPr>
          <w:rFonts w:ascii="Arial" w:hAnsi="Arial"/>
          <w:b/>
          <w:sz w:val="24"/>
        </w:rPr>
        <w:t>理由:</w:t>
      </w:r>
      <w:r>
        <w:rPr>
          <w:rFonts w:ascii="Arial" w:hAnsi="Arial"/>
          <w:sz w:val="24"/>
        </w:rPr>
        <w:t xml:space="preserve"> 營收成長強勁、毛利率提升、國防訂單潛力大、Neutron 催化劑</w:t>
      </w:r>
    </w:p>
    <w:p>
      <w:pPr>
        <w:pStyle w:val="ListBullet"/>
      </w:pPr>
      <w:r>
        <w:rPr>
          <w:rFonts w:ascii="Arial" w:hAnsi="Arial"/>
          <w:b/>
          <w:sz w:val="24"/>
        </w:rPr>
        <w:t>風險:</w:t>
      </w:r>
      <w:r>
        <w:rPr>
          <w:rFonts w:ascii="Arial" w:hAnsi="Arial"/>
          <w:sz w:val="24"/>
        </w:rPr>
        <w:t xml:space="preserve"> 估值偏高、技術風險、競爭加劇</w:t>
      </w:r>
    </w:p>
    <w:p>
      <w:r>
        <w:t>__________________________________________________</w:t>
      </w:r>
    </w:p>
    <w:p>
      <w:pPr>
        <w:pStyle w:val="Heading2"/>
      </w:pPr>
      <w:r>
        <w:t>八、競爭格局分析</w:t>
      </w:r>
    </w:p>
    <w:p>
      <w:pPr>
        <w:pStyle w:val="Heading3"/>
      </w:pPr>
      <w:r>
        <w:t>主要競爭者</w:t>
      </w:r>
    </w:p>
    <w:p>
      <w:pPr/>
      <w:r>
        <w:rPr>
          <w:rFonts w:ascii="Arial" w:hAnsi="Arial"/>
          <w:sz w:val="24"/>
        </w:rPr>
        <w:t>#### 1. SpaceX (主導者)</w:t>
      </w:r>
    </w:p>
    <w:p>
      <w:pPr>
        <w:pStyle w:val="ListBullet"/>
      </w:pPr>
      <w:r>
        <w:rPr>
          <w:rFonts w:ascii="Arial" w:hAnsi="Arial"/>
          <w:b/>
          <w:sz w:val="24"/>
        </w:rPr>
        <w:t>優勢:</w:t>
      </w:r>
      <w:r>
        <w:rPr>
          <w:rFonts w:ascii="Arial" w:hAnsi="Arial"/>
          <w:sz w:val="24"/>
        </w:rPr>
        <w:t xml:space="preserve"> 成本最低、發射頻率最高、垂直整合 (Starlink)、可重複使用技術成熟</w:t>
      </w:r>
    </w:p>
    <w:p>
      <w:pPr>
        <w:pStyle w:val="ListBullet"/>
      </w:pPr>
      <w:r>
        <w:rPr>
          <w:rFonts w:ascii="Arial" w:hAnsi="Arial"/>
          <w:b/>
          <w:sz w:val="24"/>
        </w:rPr>
        <w:t>劣勢:</w:t>
      </w:r>
      <w:r>
        <w:rPr>
          <w:rFonts w:ascii="Arial" w:hAnsi="Arial"/>
          <w:sz w:val="24"/>
        </w:rPr>
        <w:t xml:space="preserve"> 政府客戶擔心過度依賴單一供應商</w:t>
      </w:r>
    </w:p>
    <w:p>
      <w:pPr>
        <w:pStyle w:val="ListBullet"/>
      </w:pPr>
      <w:r>
        <w:rPr>
          <w:rFonts w:ascii="Arial" w:hAnsi="Arial"/>
          <w:b/>
          <w:sz w:val="24"/>
        </w:rPr>
        <w:t>對 Rocket Lab 影響:</w:t>
      </w:r>
      <w:r>
        <w:rPr>
          <w:rFonts w:ascii="Arial" w:hAnsi="Arial"/>
          <w:sz w:val="24"/>
        </w:rPr>
        <w:t xml:space="preserve"> 間接利好 (政府需要備選方案),但 Neutron 難與 Falcon 9 直接競爭</w:t>
      </w:r>
    </w:p>
    <w:p>
      <w:pPr/>
      <w:r>
        <w:rPr>
          <w:rFonts w:ascii="Arial" w:hAnsi="Arial"/>
          <w:sz w:val="24"/>
        </w:rPr>
        <w:t>#### 2. Firefly Aerospace (直接競爭者)</w:t>
      </w:r>
    </w:p>
    <w:p>
      <w:pPr>
        <w:pStyle w:val="ListBullet"/>
      </w:pPr>
      <w:r>
        <w:rPr>
          <w:rFonts w:ascii="Arial" w:hAnsi="Arial"/>
          <w:b/>
          <w:sz w:val="24"/>
        </w:rPr>
        <w:t>Alpha 火箭:</w:t>
      </w:r>
      <w:r>
        <w:rPr>
          <w:rFonts w:ascii="Arial" w:hAnsi="Arial"/>
          <w:sz w:val="24"/>
        </w:rPr>
        <w:t xml:space="preserve"> 載荷約 1 噸,與 Electron 直接競爭</w:t>
      </w:r>
    </w:p>
    <w:p>
      <w:pPr>
        <w:pStyle w:val="ListBullet"/>
      </w:pPr>
      <w:r>
        <w:rPr>
          <w:rFonts w:ascii="Arial" w:hAnsi="Arial"/>
          <w:b/>
          <w:sz w:val="24"/>
        </w:rPr>
        <w:t>2025 年狀態:</w:t>
      </w:r>
      <w:r>
        <w:rPr>
          <w:rFonts w:ascii="Arial" w:hAnsi="Arial"/>
          <w:sz w:val="24"/>
        </w:rPr>
        <w:t xml:space="preserve"> 完成 3-4 次發射,成功率 ~75%</w:t>
      </w:r>
    </w:p>
    <w:p>
      <w:pPr>
        <w:pStyle w:val="ListBullet"/>
      </w:pPr>
      <w:r>
        <w:rPr>
          <w:rFonts w:ascii="Arial" w:hAnsi="Arial"/>
          <w:b/>
          <w:sz w:val="24"/>
        </w:rPr>
        <w:t>威脅程度:</w:t>
      </w:r>
      <w:r>
        <w:rPr>
          <w:rFonts w:ascii="Arial" w:hAnsi="Arial"/>
          <w:sz w:val="24"/>
        </w:rPr>
        <w:t xml:space="preserve"> 中等 (技術仍不成熟,但獲得 Northrop Grumman 支持)</w:t>
      </w:r>
    </w:p>
    <w:p>
      <w:pPr/>
      <w:r>
        <w:rPr>
          <w:rFonts w:ascii="Arial" w:hAnsi="Arial"/>
          <w:sz w:val="24"/>
        </w:rPr>
        <w:t>#### 3. Relativity Space (潛在競爭者)</w:t>
      </w:r>
    </w:p>
    <w:p>
      <w:pPr>
        <w:pStyle w:val="ListBullet"/>
      </w:pPr>
      <w:r>
        <w:rPr>
          <w:rFonts w:ascii="Arial" w:hAnsi="Arial"/>
          <w:b/>
          <w:sz w:val="24"/>
        </w:rPr>
        <w:t>Terran R 火箭:</w:t>
      </w:r>
      <w:r>
        <w:rPr>
          <w:rFonts w:ascii="Arial" w:hAnsi="Arial"/>
          <w:sz w:val="24"/>
        </w:rPr>
        <w:t xml:space="preserve"> 20 噸載荷,比 Neutron 更大</w:t>
      </w:r>
    </w:p>
    <w:p>
      <w:pPr>
        <w:pStyle w:val="ListBullet"/>
      </w:pPr>
      <w:r>
        <w:rPr>
          <w:rFonts w:ascii="Arial" w:hAnsi="Arial"/>
          <w:b/>
          <w:sz w:val="24"/>
        </w:rPr>
        <w:t>2025 年狀態:</w:t>
      </w:r>
      <w:r>
        <w:rPr>
          <w:rFonts w:ascii="Arial" w:hAnsi="Arial"/>
          <w:sz w:val="24"/>
        </w:rPr>
        <w:t xml:space="preserve"> 開發中,預計 2026-2027 首飛</w:t>
      </w:r>
    </w:p>
    <w:p>
      <w:pPr>
        <w:pStyle w:val="ListBullet"/>
      </w:pPr>
      <w:r>
        <w:rPr>
          <w:rFonts w:ascii="Arial" w:hAnsi="Arial"/>
          <w:b/>
          <w:sz w:val="24"/>
        </w:rPr>
        <w:t>威脅程度:</w:t>
      </w:r>
      <w:r>
        <w:rPr>
          <w:rFonts w:ascii="Arial" w:hAnsi="Arial"/>
          <w:sz w:val="24"/>
        </w:rPr>
        <w:t xml:space="preserve"> 中等 (技術雄心大但執行風險高)</w:t>
      </w:r>
    </w:p>
    <w:p>
      <w:pPr/>
      <w:r>
        <w:rPr>
          <w:rFonts w:ascii="Arial" w:hAnsi="Arial"/>
          <w:sz w:val="24"/>
        </w:rPr>
        <w:t>#### 4. ABL Space Systems、Astra Space</w:t>
      </w:r>
    </w:p>
    <w:p>
      <w:pPr>
        <w:pStyle w:val="ListBullet"/>
      </w:pPr>
      <w:r>
        <w:rPr>
          <w:rFonts w:ascii="Arial" w:hAnsi="Arial"/>
          <w:b/>
          <w:sz w:val="24"/>
        </w:rPr>
        <w:t>狀態:</w:t>
      </w:r>
      <w:r>
        <w:rPr>
          <w:rFonts w:ascii="Arial" w:hAnsi="Arial"/>
          <w:sz w:val="24"/>
        </w:rPr>
        <w:t xml:space="preserve"> 技術與財務困境,短期內非威脅</w:t>
      </w:r>
    </w:p>
    <w:p>
      <w:pPr/>
      <w:r>
        <w:rPr>
          <w:rFonts w:ascii="Arial" w:hAnsi="Arial"/>
          <w:sz w:val="24"/>
        </w:rPr>
        <w:t>#### 5. 中國競爭者 (長期威脅)</w:t>
      </w:r>
    </w:p>
    <w:p>
      <w:pPr>
        <w:pStyle w:val="ListBullet"/>
      </w:pPr>
      <w:r>
        <w:rPr>
          <w:rFonts w:ascii="Arial" w:hAnsi="Arial"/>
          <w:b/>
          <w:sz w:val="24"/>
        </w:rPr>
        <w:t>長征系列、星際榮耀、藍箭航天等:</w:t>
      </w:r>
      <w:r>
        <w:rPr>
          <w:rFonts w:ascii="Arial" w:hAnsi="Arial"/>
          <w:sz w:val="24"/>
        </w:rPr>
        <w:t xml:space="preserve"> 成本更低,但受 ITAR 限制無法進入美國市場</w:t>
      </w:r>
    </w:p>
    <w:p>
      <w:pPr/>
      <w:r>
        <w:rPr>
          <w:rFonts w:ascii="Arial" w:hAnsi="Arial"/>
          <w:b/>
          <w:sz w:val="24"/>
        </w:rPr>
        <w:t>Rocket Lab 競爭優勢:</w:t>
      </w:r>
    </w:p>
    <w:p>
      <w:pPr>
        <w:pStyle w:val="ListNumber"/>
      </w:pPr>
      <w:r>
        <w:rPr>
          <w:rFonts w:ascii="Arial" w:hAnsi="Arial"/>
          <w:b/>
          <w:sz w:val="24"/>
        </w:rPr>
        <w:t>已驗證的發射記錄:</w:t>
      </w:r>
      <w:r>
        <w:rPr>
          <w:rFonts w:ascii="Arial" w:hAnsi="Arial"/>
          <w:sz w:val="24"/>
        </w:rPr>
        <w:t xml:space="preserve"> 80+ 次成功發射,遠超新興競爭者</w:t>
      </w:r>
    </w:p>
    <w:p>
      <w:pPr>
        <w:pStyle w:val="ListNumber"/>
      </w:pPr>
      <w:r>
        <w:rPr>
          <w:rFonts w:ascii="Arial" w:hAnsi="Arial"/>
          <w:b/>
          <w:sz w:val="24"/>
        </w:rPr>
        <w:t>垂直整合:</w:t>
      </w:r>
      <w:r>
        <w:rPr>
          <w:rFonts w:ascii="Arial" w:hAnsi="Arial"/>
          <w:sz w:val="24"/>
        </w:rPr>
        <w:t xml:space="preserve"> 從火箭、衛星平台到組件均自主研發</w:t>
      </w:r>
    </w:p>
    <w:p>
      <w:pPr>
        <w:pStyle w:val="ListNumber"/>
      </w:pPr>
      <w:r>
        <w:rPr>
          <w:rFonts w:ascii="Arial" w:hAnsi="Arial"/>
          <w:b/>
          <w:sz w:val="24"/>
        </w:rPr>
        <w:t>快速響應能力:</w:t>
      </w:r>
      <w:r>
        <w:rPr>
          <w:rFonts w:ascii="Arial" w:hAnsi="Arial"/>
          <w:sz w:val="24"/>
        </w:rPr>
        <w:t xml:space="preserve"> 從簽約到發射僅需數月</w:t>
      </w:r>
    </w:p>
    <w:p>
      <w:pPr>
        <w:pStyle w:val="ListNumber"/>
      </w:pPr>
      <w:r>
        <w:rPr>
          <w:rFonts w:ascii="Arial" w:hAnsi="Arial"/>
          <w:b/>
          <w:sz w:val="24"/>
        </w:rPr>
        <w:t>國防信任:</w:t>
      </w:r>
      <w:r>
        <w:rPr>
          <w:rFonts w:ascii="Arial" w:hAnsi="Arial"/>
          <w:sz w:val="24"/>
        </w:rPr>
        <w:t xml:space="preserve"> 已獲得多個機密專案合約</w:t>
      </w:r>
    </w:p>
    <w:p>
      <w:pPr>
        <w:pStyle w:val="ListNumber"/>
      </w:pPr>
      <w:r>
        <w:rPr>
          <w:rFonts w:ascii="Arial" w:hAnsi="Arial"/>
          <w:b/>
          <w:sz w:val="24"/>
        </w:rPr>
        <w:t>國際發射能力:</w:t>
      </w:r>
      <w:r>
        <w:rPr>
          <w:rFonts w:ascii="Arial" w:hAnsi="Arial"/>
          <w:sz w:val="24"/>
        </w:rPr>
        <w:t xml:space="preserve"> 紐西蘭與美國兩個發射場,彈性高</w:t>
      </w:r>
    </w:p>
    <w:p>
      <w:r>
        <w:t>__________________________________________________</w:t>
      </w:r>
    </w:p>
    <w:p>
      <w:pPr>
        <w:pStyle w:val="Heading2"/>
      </w:pPr>
      <w:r>
        <w:t>九、風險因素</w:t>
      </w:r>
    </w:p>
    <w:p>
      <w:pPr>
        <w:pStyle w:val="Heading3"/>
      </w:pPr>
      <w:r>
        <w:t>技術風險</w:t>
      </w:r>
    </w:p>
    <w:p>
      <w:pPr>
        <w:pStyle w:val="ListNumber"/>
      </w:pPr>
      <w:r>
        <w:rPr>
          <w:rFonts w:ascii="Arial" w:hAnsi="Arial"/>
          <w:b/>
          <w:sz w:val="24"/>
        </w:rPr>
        <w:t>Neutron 開發延誤或失敗</w:t>
      </w:r>
      <w:r>
        <w:rPr>
          <w:rFonts w:ascii="Arial" w:hAnsi="Arial"/>
          <w:sz w:val="24"/>
        </w:rPr>
        <w:t xml:space="preserve"> (機率: 30%)</w:t>
      </w:r>
    </w:p>
    <w:p>
      <w:pPr/>
      <w:r>
        <w:rPr>
          <w:rFonts w:ascii="Arial" w:hAnsi="Arial"/>
          <w:sz w:val="24"/>
        </w:rPr>
        <w:t xml:space="preserve">   - 影響: 股價可能下跌 -30-40%</w:t>
      </w:r>
    </w:p>
    <w:p>
      <w:pPr/>
      <w:r>
        <w:rPr>
          <w:rFonts w:ascii="Arial" w:hAnsi="Arial"/>
          <w:sz w:val="24"/>
        </w:rPr>
        <w:t xml:space="preserve">   - 緩解措施: Electron 業務可獨立支撐公司</w:t>
      </w:r>
    </w:p>
    <w:p>
      <w:pPr>
        <w:pStyle w:val="ListNumber"/>
      </w:pPr>
      <w:r>
        <w:rPr>
          <w:rFonts w:ascii="Arial" w:hAnsi="Arial"/>
          <w:b/>
          <w:sz w:val="24"/>
        </w:rPr>
        <w:t>Electron 發射失敗</w:t>
      </w:r>
      <w:r>
        <w:rPr>
          <w:rFonts w:ascii="Arial" w:hAnsi="Arial"/>
          <w:sz w:val="24"/>
        </w:rPr>
        <w:t xml:space="preserve"> (機率: 5-10%)</w:t>
      </w:r>
    </w:p>
    <w:p>
      <w:pPr/>
      <w:r>
        <w:rPr>
          <w:rFonts w:ascii="Arial" w:hAnsi="Arial"/>
          <w:sz w:val="24"/>
        </w:rPr>
        <w:t xml:space="preserve">   - 影響: 短期股價波動 -10-15%,長期影響有限</w:t>
      </w:r>
    </w:p>
    <w:p>
      <w:pPr>
        <w:pStyle w:val="Heading3"/>
      </w:pPr>
      <w:r>
        <w:t>市場風險</w:t>
      </w:r>
    </w:p>
    <w:p>
      <w:pPr>
        <w:pStyle w:val="ListNumber"/>
      </w:pPr>
      <w:r>
        <w:rPr>
          <w:rFonts w:ascii="Arial" w:hAnsi="Arial"/>
          <w:b/>
          <w:sz w:val="24"/>
        </w:rPr>
        <w:t>衛星星座需求放緩</w:t>
      </w:r>
      <w:r>
        <w:rPr>
          <w:rFonts w:ascii="Arial" w:hAnsi="Arial"/>
          <w:sz w:val="24"/>
        </w:rPr>
        <w:t xml:space="preserve"> (機率: 20%)</w:t>
      </w:r>
    </w:p>
    <w:p>
      <w:pPr/>
      <w:r>
        <w:rPr>
          <w:rFonts w:ascii="Arial" w:hAnsi="Arial"/>
          <w:sz w:val="24"/>
        </w:rPr>
        <w:t xml:space="preserve">   - 若 LEO 星座泡沫破裂,發射需求大減</w:t>
      </w:r>
    </w:p>
    <w:p>
      <w:pPr>
        <w:pStyle w:val="ListNumber"/>
      </w:pPr>
      <w:r>
        <w:rPr>
          <w:rFonts w:ascii="Arial" w:hAnsi="Arial"/>
          <w:b/>
          <w:sz w:val="24"/>
        </w:rPr>
        <w:t>SpaceX 價格戰</w:t>
      </w:r>
      <w:r>
        <w:rPr>
          <w:rFonts w:ascii="Arial" w:hAnsi="Arial"/>
          <w:sz w:val="24"/>
        </w:rPr>
        <w:t xml:space="preserve"> (機率: 40%)</w:t>
      </w:r>
    </w:p>
    <w:p>
      <w:pPr/>
      <w:r>
        <w:rPr>
          <w:rFonts w:ascii="Arial" w:hAnsi="Arial"/>
          <w:sz w:val="24"/>
        </w:rPr>
        <w:t xml:space="preserve">   - SpaceX 若大幅降價,Rocket Lab 市場份額受壓</w:t>
      </w:r>
    </w:p>
    <w:p>
      <w:pPr>
        <w:pStyle w:val="Heading3"/>
      </w:pPr>
      <w:r>
        <w:t>財務風險</w:t>
      </w:r>
    </w:p>
    <w:p>
      <w:pPr>
        <w:pStyle w:val="ListNumber"/>
      </w:pPr>
      <w:r>
        <w:rPr>
          <w:rFonts w:ascii="Arial" w:hAnsi="Arial"/>
          <w:b/>
          <w:sz w:val="24"/>
        </w:rPr>
        <w:t>現金流持續為負</w:t>
      </w:r>
      <w:r>
        <w:rPr>
          <w:rFonts w:ascii="Arial" w:hAnsi="Arial"/>
          <w:sz w:val="24"/>
        </w:rPr>
        <w:t xml:space="preserve"> (機率: 60%)</w:t>
      </w:r>
    </w:p>
    <w:p>
      <w:pPr/>
      <w:r>
        <w:rPr>
          <w:rFonts w:ascii="Arial" w:hAnsi="Arial"/>
          <w:sz w:val="24"/>
        </w:rPr>
        <w:t xml:space="preserve">   - 2026-2027 年可能需要額外融資 (股權或債務稀釋)</w:t>
      </w:r>
    </w:p>
    <w:p>
      <w:pPr>
        <w:pStyle w:val="ListNumber"/>
      </w:pPr>
      <w:r>
        <w:rPr>
          <w:rFonts w:ascii="Arial" w:hAnsi="Arial"/>
          <w:b/>
          <w:sz w:val="24"/>
        </w:rPr>
        <w:t>估值泡沫破裂</w:t>
      </w:r>
      <w:r>
        <w:rPr>
          <w:rFonts w:ascii="Arial" w:hAnsi="Arial"/>
          <w:sz w:val="24"/>
        </w:rPr>
        <w:t xml:space="preserve"> (機率: 30%)</w:t>
      </w:r>
    </w:p>
    <w:p>
      <w:pPr/>
      <w:r>
        <w:rPr>
          <w:rFonts w:ascii="Arial" w:hAnsi="Arial"/>
          <w:sz w:val="24"/>
        </w:rPr>
        <w:t xml:space="preserve">   - 若市場風險偏好下降,高估值成長股將受重創</w:t>
      </w:r>
    </w:p>
    <w:p>
      <w:pPr>
        <w:pStyle w:val="Heading3"/>
      </w:pPr>
      <w:r>
        <w:t>政策風險</w:t>
      </w:r>
    </w:p>
    <w:p>
      <w:pPr>
        <w:pStyle w:val="ListNumber"/>
      </w:pPr>
      <w:r>
        <w:rPr>
          <w:rFonts w:ascii="Arial" w:hAnsi="Arial"/>
          <w:b/>
          <w:sz w:val="24"/>
        </w:rPr>
        <w:t>國防預算削減</w:t>
      </w:r>
      <w:r>
        <w:rPr>
          <w:rFonts w:ascii="Arial" w:hAnsi="Arial"/>
          <w:sz w:val="24"/>
        </w:rPr>
        <w:t xml:space="preserve"> (機率: 15%)</w:t>
      </w:r>
    </w:p>
    <w:p>
      <w:pPr/>
      <w:r>
        <w:rPr>
          <w:rFonts w:ascii="Arial" w:hAnsi="Arial"/>
          <w:sz w:val="24"/>
        </w:rPr>
        <w:t xml:space="preserve">   - 財政壓力導致太空支出縮減</w:t>
      </w:r>
    </w:p>
    <w:p>
      <w:pPr>
        <w:pStyle w:val="ListNumber"/>
      </w:pPr>
      <w:r>
        <w:rPr>
          <w:rFonts w:ascii="Arial" w:hAnsi="Arial"/>
          <w:b/>
          <w:sz w:val="24"/>
        </w:rPr>
        <w:t>地緣政治衝突</w:t>
      </w:r>
      <w:r>
        <w:rPr>
          <w:rFonts w:ascii="Arial" w:hAnsi="Arial"/>
          <w:sz w:val="24"/>
        </w:rPr>
        <w:t xml:space="preserve"> (機率: 10%)</w:t>
      </w:r>
    </w:p>
    <w:p>
      <w:pPr/>
      <w:r>
        <w:rPr>
          <w:rFonts w:ascii="Arial" w:hAnsi="Arial"/>
          <w:sz w:val="24"/>
        </w:rPr>
        <w:t xml:space="preserve">   - 紐西蘭發射場若因政治因素無法使用</w:t>
      </w:r>
    </w:p>
    <w:p>
      <w:r>
        <w:t>__________________________________________________</w:t>
      </w:r>
    </w:p>
    <w:p>
      <w:pPr>
        <w:pStyle w:val="Heading2"/>
      </w:pPr>
      <w:r>
        <w:t>十、投資建議總結</w:t>
      </w:r>
    </w:p>
    <w:p>
      <w:pPr>
        <w:pStyle w:val="Heading3"/>
      </w:pPr>
      <w:r>
        <w:t>核心投資論點</w:t>
      </w:r>
    </w:p>
    <w:p>
      <w:pPr/>
      <w:r>
        <w:rPr>
          <w:rFonts w:ascii="Arial" w:hAnsi="Arial"/>
          <w:b/>
          <w:sz w:val="24"/>
        </w:rPr>
        <w:t>看多理由 (Bull Thesis):</w:t>
      </w:r>
    </w:p>
    <w:p>
      <w:pPr>
        <w:pStyle w:val="ListNumber"/>
      </w:pPr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唯一可投資的高成長太空純玩股</w:t>
      </w:r>
      <w:r>
        <w:rPr>
          <w:rFonts w:ascii="Arial" w:hAnsi="Arial"/>
          <w:sz w:val="24"/>
        </w:rPr>
        <w:t xml:space="preserve"> (SpaceX 未上市)</w:t>
      </w:r>
    </w:p>
    <w:p>
      <w:pPr>
        <w:pStyle w:val="ListNumber"/>
      </w:pPr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營收加速成長</w:t>
      </w:r>
      <w:r>
        <w:rPr>
          <w:rFonts w:ascii="Arial" w:hAnsi="Arial"/>
          <w:sz w:val="24"/>
        </w:rPr>
        <w:t xml:space="preserve"> (+60% in 2026E),毛利率持續提升</w:t>
      </w:r>
    </w:p>
    <w:p>
      <w:pPr>
        <w:pStyle w:val="ListNumber"/>
      </w:pPr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Neutron 潛在催化劑</w:t>
      </w:r>
      <w:r>
        <w:rPr>
          <w:rFonts w:ascii="Arial" w:hAnsi="Arial"/>
          <w:sz w:val="24"/>
        </w:rPr>
        <w:t xml:space="preserve"> 打開中型火箭市場 (TAM $5B+)</w:t>
      </w:r>
    </w:p>
    <w:p>
      <w:pPr>
        <w:pStyle w:val="ListNumber"/>
      </w:pPr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國防訂單強勁</w:t>
      </w:r>
      <w:r>
        <w:rPr>
          <w:rFonts w:ascii="Arial" w:hAnsi="Arial"/>
          <w:sz w:val="24"/>
        </w:rPr>
        <w:t xml:space="preserve"> 政策順風,SDA/NRO/Space Force 多年期合約潛力</w:t>
      </w:r>
    </w:p>
    <w:p>
      <w:pPr>
        <w:pStyle w:val="ListNumber"/>
      </w:pPr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現金流拐點臨近</w:t>
      </w:r>
      <w:r>
        <w:rPr>
          <w:rFonts w:ascii="Arial" w:hAnsi="Arial"/>
          <w:sz w:val="24"/>
        </w:rPr>
        <w:t xml:space="preserve"> 2026-2027 有望運營現金流轉正</w:t>
      </w:r>
    </w:p>
    <w:p>
      <w:pPr>
        <w:pStyle w:val="ListNumber"/>
      </w:pPr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技術護城河</w:t>
      </w:r>
      <w:r>
        <w:rPr>
          <w:rFonts w:ascii="Arial" w:hAnsi="Arial"/>
          <w:sz w:val="24"/>
        </w:rPr>
        <w:t xml:space="preserve"> 已驗證的發射記錄與垂直整合能力</w:t>
      </w:r>
    </w:p>
    <w:p>
      <w:pPr/>
      <w:r>
        <w:rPr>
          <w:rFonts w:ascii="Arial" w:hAnsi="Arial"/>
          <w:b/>
          <w:sz w:val="24"/>
        </w:rPr>
        <w:t>看空理由 (Bear Thesis):</w:t>
      </w:r>
    </w:p>
    <w:p>
      <w:pPr>
        <w:pStyle w:val="ListNumber"/>
      </w:pPr>
      <w:r>
        <w:rPr>
          <w:rFonts w:ascii="Arial" w:hAnsi="Arial"/>
          <w:sz w:val="24"/>
        </w:rPr>
        <w:t xml:space="preserve">❌ </w:t>
      </w:r>
      <w:r>
        <w:rPr>
          <w:rFonts w:ascii="Arial" w:hAnsi="Arial"/>
          <w:b/>
          <w:sz w:val="24"/>
        </w:rPr>
        <w:t>估值過高</w:t>
      </w:r>
      <w:r>
        <w:rPr>
          <w:rFonts w:ascii="Arial" w:hAnsi="Arial"/>
          <w:sz w:val="24"/>
        </w:rPr>
        <w:t xml:space="preserve"> EV/Sales 44x,已 price-in 大量成長預期</w:t>
      </w:r>
    </w:p>
    <w:p>
      <w:pPr>
        <w:pStyle w:val="ListNumber"/>
      </w:pPr>
      <w:r>
        <w:rPr>
          <w:rFonts w:ascii="Arial" w:hAnsi="Arial"/>
          <w:sz w:val="24"/>
        </w:rPr>
        <w:t xml:space="preserve">❌ </w:t>
      </w:r>
      <w:r>
        <w:rPr>
          <w:rFonts w:ascii="Arial" w:hAnsi="Arial"/>
          <w:b/>
          <w:sz w:val="24"/>
        </w:rPr>
        <w:t>Neutron 執行風險</w:t>
      </w:r>
      <w:r>
        <w:rPr>
          <w:rFonts w:ascii="Arial" w:hAnsi="Arial"/>
          <w:sz w:val="24"/>
        </w:rPr>
        <w:t xml:space="preserve"> 新火箭開發失敗率歷史上高達 50%</w:t>
      </w:r>
    </w:p>
    <w:p>
      <w:pPr>
        <w:pStyle w:val="ListNumber"/>
      </w:pPr>
      <w:r>
        <w:rPr>
          <w:rFonts w:ascii="Arial" w:hAnsi="Arial"/>
          <w:sz w:val="24"/>
        </w:rPr>
        <w:t xml:space="preserve">❌ </w:t>
      </w:r>
      <w:r>
        <w:rPr>
          <w:rFonts w:ascii="Arial" w:hAnsi="Arial"/>
          <w:b/>
          <w:sz w:val="24"/>
        </w:rPr>
        <w:t>SpaceX 主導地位</w:t>
      </w:r>
      <w:r>
        <w:rPr>
          <w:rFonts w:ascii="Arial" w:hAnsi="Arial"/>
          <w:sz w:val="24"/>
        </w:rPr>
        <w:t xml:space="preserve"> 難以在成本與規模上競爭</w:t>
      </w:r>
    </w:p>
    <w:p>
      <w:pPr>
        <w:pStyle w:val="ListNumber"/>
      </w:pPr>
      <w:r>
        <w:rPr>
          <w:rFonts w:ascii="Arial" w:hAnsi="Arial"/>
          <w:sz w:val="24"/>
        </w:rPr>
        <w:t xml:space="preserve">❌ </w:t>
      </w:r>
      <w:r>
        <w:rPr>
          <w:rFonts w:ascii="Arial" w:hAnsi="Arial"/>
          <w:b/>
          <w:sz w:val="24"/>
        </w:rPr>
        <w:t>持續燒錢</w:t>
      </w:r>
      <w:r>
        <w:rPr>
          <w:rFonts w:ascii="Arial" w:hAnsi="Arial"/>
          <w:sz w:val="24"/>
        </w:rPr>
        <w:t xml:space="preserve"> 尚未實現正向現金流,可能需要稀釋性融資</w:t>
      </w:r>
    </w:p>
    <w:p>
      <w:pPr>
        <w:pStyle w:val="ListNumber"/>
      </w:pPr>
      <w:r>
        <w:rPr>
          <w:rFonts w:ascii="Arial" w:hAnsi="Arial"/>
          <w:sz w:val="24"/>
        </w:rPr>
        <w:t xml:space="preserve">❌ </w:t>
      </w:r>
      <w:r>
        <w:rPr>
          <w:rFonts w:ascii="Arial" w:hAnsi="Arial"/>
          <w:b/>
          <w:sz w:val="24"/>
        </w:rPr>
        <w:t>競爭加劇</w:t>
      </w:r>
      <w:r>
        <w:rPr>
          <w:rFonts w:ascii="Arial" w:hAnsi="Arial"/>
          <w:sz w:val="24"/>
        </w:rPr>
        <w:t xml:space="preserve"> Firefly、Relativity 等追趕</w:t>
      </w:r>
    </w:p>
    <w:p>
      <w:pPr>
        <w:pStyle w:val="Heading3"/>
      </w:pPr>
      <w:r>
        <w:t>投資策略建議</w:t>
      </w:r>
    </w:p>
    <w:p>
      <w:pPr/>
      <w:r>
        <w:rPr>
          <w:rFonts w:ascii="Arial" w:hAnsi="Arial"/>
          <w:b/>
          <w:sz w:val="24"/>
        </w:rPr>
        <w:t>適合投資者類型:</w:t>
      </w:r>
    </w:p>
    <w:p>
      <w:pPr>
        <w:pStyle w:val="ListBullet"/>
      </w:pPr>
      <w:r>
        <w:rPr>
          <w:rFonts w:ascii="Arial" w:hAnsi="Arial"/>
          <w:b/>
          <w:sz w:val="24"/>
        </w:rPr>
        <w:t>成長型投資者:</w:t>
      </w:r>
      <w:r>
        <w:rPr>
          <w:rFonts w:ascii="Arial" w:hAnsi="Arial"/>
          <w:sz w:val="24"/>
        </w:rPr>
        <w:t xml:space="preserve"> 願意承受高波動性,看好太空產業長期趨勢</w:t>
      </w:r>
    </w:p>
    <w:p>
      <w:pPr>
        <w:pStyle w:val="ListBullet"/>
      </w:pPr>
      <w:r>
        <w:rPr>
          <w:rFonts w:ascii="Arial" w:hAnsi="Arial"/>
          <w:b/>
          <w:sz w:val="24"/>
        </w:rPr>
        <w:t>主題投資者:</w:t>
      </w:r>
      <w:r>
        <w:rPr>
          <w:rFonts w:ascii="Arial" w:hAnsi="Arial"/>
          <w:sz w:val="24"/>
        </w:rPr>
        <w:t xml:space="preserve"> 配置太空、國防、新興科技主題</w:t>
      </w:r>
    </w:p>
    <w:p>
      <w:pPr>
        <w:pStyle w:val="ListBullet"/>
      </w:pPr>
      <w:r>
        <w:rPr>
          <w:rFonts w:ascii="Arial" w:hAnsi="Arial"/>
          <w:b/>
          <w:sz w:val="24"/>
        </w:rPr>
        <w:t>動能交易者:</w:t>
      </w:r>
      <w:r>
        <w:rPr>
          <w:rFonts w:ascii="Arial" w:hAnsi="Arial"/>
          <w:sz w:val="24"/>
        </w:rPr>
        <w:t xml:space="preserve"> 利用 Neutron 里程碑事件進行波段操作</w:t>
      </w:r>
    </w:p>
    <w:p>
      <w:pPr/>
      <w:r>
        <w:rPr>
          <w:rFonts w:ascii="Arial" w:hAnsi="Arial"/>
          <w:b/>
          <w:sz w:val="24"/>
        </w:rPr>
        <w:t>不適合投資者類型:</w:t>
      </w:r>
    </w:p>
    <w:p>
      <w:pPr>
        <w:pStyle w:val="ListBullet"/>
      </w:pPr>
      <w:r>
        <w:rPr>
          <w:rFonts w:ascii="Arial" w:hAnsi="Arial"/>
          <w:sz w:val="24"/>
        </w:rPr>
        <w:t>價值投資者 (估值過高,無股息)</w:t>
      </w:r>
    </w:p>
    <w:p>
      <w:pPr>
        <w:pStyle w:val="ListBullet"/>
      </w:pPr>
      <w:r>
        <w:rPr>
          <w:rFonts w:ascii="Arial" w:hAnsi="Arial"/>
          <w:sz w:val="24"/>
        </w:rPr>
        <w:t>風險厭惡者 (Beta 2.18,波動極大)</w:t>
      </w:r>
    </w:p>
    <w:p>
      <w:pPr>
        <w:pStyle w:val="ListBullet"/>
      </w:pPr>
      <w:r>
        <w:rPr>
          <w:rFonts w:ascii="Arial" w:hAnsi="Arial"/>
          <w:sz w:val="24"/>
        </w:rPr>
        <w:t>短期投機者 (消息面驅動,難預測)</w:t>
      </w:r>
    </w:p>
    <w:p>
      <w:pPr/>
      <w:r>
        <w:rPr>
          <w:rFonts w:ascii="Arial" w:hAnsi="Arial"/>
          <w:b/>
          <w:sz w:val="24"/>
        </w:rPr>
        <w:t>建議配置:</w:t>
      </w:r>
    </w:p>
    <w:p>
      <w:pPr>
        <w:pStyle w:val="ListBullet"/>
      </w:pPr>
      <w:r>
        <w:rPr>
          <w:rFonts w:ascii="Arial" w:hAnsi="Arial"/>
          <w:b/>
          <w:sz w:val="24"/>
        </w:rPr>
        <w:t>積極型組合:</w:t>
      </w:r>
      <w:r>
        <w:rPr>
          <w:rFonts w:ascii="Arial" w:hAnsi="Arial"/>
          <w:sz w:val="24"/>
        </w:rPr>
        <w:t xml:space="preserve"> 3-5% 持倉</w:t>
      </w:r>
    </w:p>
    <w:p>
      <w:pPr>
        <w:pStyle w:val="ListBullet"/>
      </w:pPr>
      <w:r>
        <w:rPr>
          <w:rFonts w:ascii="Arial" w:hAnsi="Arial"/>
          <w:b/>
          <w:sz w:val="24"/>
        </w:rPr>
        <w:t>平衡型組合:</w:t>
      </w:r>
      <w:r>
        <w:rPr>
          <w:rFonts w:ascii="Arial" w:hAnsi="Arial"/>
          <w:sz w:val="24"/>
        </w:rPr>
        <w:t xml:space="preserve"> 1-2% 持倉</w:t>
      </w:r>
    </w:p>
    <w:p>
      <w:pPr>
        <w:pStyle w:val="ListBullet"/>
      </w:pPr>
      <w:r>
        <w:rPr>
          <w:rFonts w:ascii="Arial" w:hAnsi="Arial"/>
          <w:b/>
          <w:sz w:val="24"/>
        </w:rPr>
        <w:t>保守型組合:</w:t>
      </w:r>
      <w:r>
        <w:rPr>
          <w:rFonts w:ascii="Arial" w:hAnsi="Arial"/>
          <w:sz w:val="24"/>
        </w:rPr>
        <w:t xml:space="preserve"> 0% 或觀望</w:t>
      </w:r>
    </w:p>
    <w:p>
      <w:pPr>
        <w:pStyle w:val="Heading3"/>
      </w:pPr>
      <w:r>
        <w:t>關鍵監控指標</w:t>
      </w:r>
    </w:p>
    <w:p>
      <w:pPr/>
      <w:r>
        <w:rPr>
          <w:rFonts w:ascii="Arial" w:hAnsi="Arial"/>
          <w:b/>
          <w:sz w:val="24"/>
        </w:rPr>
        <w:t>季度追蹤:</w:t>
      </w:r>
    </w:p>
    <w:p>
      <w:pPr>
        <w:pStyle w:val="ListNumber"/>
      </w:pPr>
      <w:r>
        <w:rPr>
          <w:rFonts w:ascii="Arial" w:hAnsi="Arial"/>
          <w:sz w:val="24"/>
        </w:rPr>
        <w:t>營收成長率 (&gt;+40% YoY)</w:t>
      </w:r>
    </w:p>
    <w:p>
      <w:pPr>
        <w:pStyle w:val="ListNumber"/>
      </w:pPr>
      <w:r>
        <w:rPr>
          <w:rFonts w:ascii="Arial" w:hAnsi="Arial"/>
          <w:sz w:val="24"/>
        </w:rPr>
        <w:t>毛利率 (目標 35%+)</w:t>
      </w:r>
    </w:p>
    <w:p>
      <w:pPr>
        <w:pStyle w:val="ListNumber"/>
      </w:pPr>
      <w:r>
        <w:rPr>
          <w:rFonts w:ascii="Arial" w:hAnsi="Arial"/>
          <w:sz w:val="24"/>
        </w:rPr>
        <w:t>Space Systems 營收佔比 (目標 40%+)</w:t>
      </w:r>
    </w:p>
    <w:p>
      <w:pPr>
        <w:pStyle w:val="ListNumber"/>
      </w:pPr>
      <w:r>
        <w:rPr>
          <w:rFonts w:ascii="Arial" w:hAnsi="Arial"/>
          <w:sz w:val="24"/>
        </w:rPr>
        <w:t>運營現金流 (距離轉正的進度)</w:t>
      </w:r>
    </w:p>
    <w:p>
      <w:pPr>
        <w:pStyle w:val="ListNumber"/>
      </w:pPr>
      <w:r>
        <w:rPr>
          <w:rFonts w:ascii="Arial" w:hAnsi="Arial"/>
          <w:sz w:val="24"/>
        </w:rPr>
        <w:t>Electron 發射成功率 (&gt;95%)</w:t>
      </w:r>
    </w:p>
    <w:p>
      <w:pPr/>
      <w:r>
        <w:rPr>
          <w:rFonts w:ascii="Arial" w:hAnsi="Arial"/>
          <w:b/>
          <w:sz w:val="24"/>
        </w:rPr>
        <w:t>事件催化劑:</w:t>
      </w:r>
    </w:p>
    <w:p>
      <w:pPr>
        <w:pStyle w:val="ListNumber"/>
      </w:pPr>
      <w:r>
        <w:rPr>
          <w:rFonts w:ascii="Arial" w:hAnsi="Arial"/>
          <w:sz w:val="24"/>
        </w:rPr>
        <w:t>2026 Q1: 年度財報與指引</w:t>
      </w:r>
    </w:p>
    <w:p>
      <w:pPr>
        <w:pStyle w:val="ListNumber"/>
      </w:pPr>
      <w:r>
        <w:rPr>
          <w:rFonts w:ascii="Arial" w:hAnsi="Arial"/>
          <w:sz w:val="24"/>
        </w:rPr>
        <w:t>2026 Q2: SDA Tranche 3 競標結果</w:t>
      </w:r>
    </w:p>
    <w:p>
      <w:pPr>
        <w:pStyle w:val="ListNumber"/>
      </w:pPr>
      <w:r>
        <w:rPr>
          <w:rFonts w:ascii="Arial" w:hAnsi="Arial"/>
          <w:sz w:val="24"/>
        </w:rPr>
        <w:t>2026 Q3-Q4: Neutron 首飛時間公告</w:t>
      </w:r>
    </w:p>
    <w:p>
      <w:pPr>
        <w:pStyle w:val="ListNumber"/>
      </w:pPr>
      <w:r>
        <w:rPr>
          <w:rFonts w:ascii="Arial" w:hAnsi="Arial"/>
          <w:sz w:val="24"/>
        </w:rPr>
        <w:t>持續: 重大國防合約公告</w:t>
      </w:r>
    </w:p>
    <w:p>
      <w:r>
        <w:t>__________________________________________________</w:t>
      </w:r>
    </w:p>
    <w:p>
      <w:pPr>
        <w:pStyle w:val="Heading2"/>
      </w:pPr>
      <w:r>
        <w:t>十一、結論</w:t>
      </w:r>
    </w:p>
    <w:p>
      <w:pPr/>
      <w:r>
        <w:rPr>
          <w:rFonts w:ascii="Arial" w:hAnsi="Arial"/>
          <w:sz w:val="24"/>
        </w:rPr>
        <w:t xml:space="preserve">Rocket Lab USA (RKLB) 處於商業太空產業的黃金發展期。公司以 </w:t>
      </w:r>
      <w:r>
        <w:rPr>
          <w:rFonts w:ascii="Arial" w:hAnsi="Arial"/>
          <w:b/>
          <w:sz w:val="24"/>
        </w:rPr>
        <w:t>Electron 小型火箭的成熟業務</w:t>
      </w:r>
      <w:r>
        <w:rPr>
          <w:rFonts w:ascii="Arial" w:hAnsi="Arial"/>
          <w:sz w:val="24"/>
        </w:rPr>
        <w:t xml:space="preserve"> 為基石,正透過 </w:t>
      </w:r>
      <w:r>
        <w:rPr>
          <w:rFonts w:ascii="Arial" w:hAnsi="Arial"/>
          <w:b/>
          <w:sz w:val="24"/>
        </w:rPr>
        <w:t>Neutron 中型火箭</w:t>
      </w:r>
      <w:r>
        <w:rPr>
          <w:rFonts w:ascii="Arial" w:hAnsi="Arial"/>
          <w:sz w:val="24"/>
        </w:rPr>
        <w:t xml:space="preserve"> 與 </w:t>
      </w:r>
      <w:r>
        <w:rPr>
          <w:rFonts w:ascii="Arial" w:hAnsi="Arial"/>
          <w:b/>
          <w:sz w:val="24"/>
        </w:rPr>
        <w:t>Space Systems 高毛利業務</w:t>
      </w:r>
      <w:r>
        <w:rPr>
          <w:rFonts w:ascii="Arial" w:hAnsi="Arial"/>
          <w:sz w:val="24"/>
        </w:rPr>
        <w:t xml:space="preserve"> 開啟第二成長曲線。</w:t>
      </w:r>
    </w:p>
    <w:p>
      <w:pPr/>
      <w:r>
        <w:rPr>
          <w:rFonts w:ascii="Arial" w:hAnsi="Arial"/>
          <w:b/>
          <w:sz w:val="24"/>
        </w:rPr>
        <w:t>2026 年是關鍵轉折年:</w:t>
      </w:r>
    </w:p>
    <w:p>
      <w:pPr>
        <w:pStyle w:val="ListBullet"/>
      </w:pPr>
      <w:r>
        <w:rPr>
          <w:rFonts w:ascii="Arial" w:hAnsi="Arial"/>
          <w:sz w:val="24"/>
        </w:rPr>
        <w:t>營收有望首次突破 $900M (+60% YoY)</w:t>
      </w:r>
    </w:p>
    <w:p>
      <w:pPr>
        <w:pStyle w:val="ListBullet"/>
      </w:pPr>
      <w:r>
        <w:rPr>
          <w:rFonts w:ascii="Arial" w:hAnsi="Arial"/>
          <w:sz w:val="24"/>
        </w:rPr>
        <w:t>毛利率提升至 35%,證明規模經濟</w:t>
      </w:r>
    </w:p>
    <w:p>
      <w:pPr>
        <w:pStyle w:val="ListBullet"/>
      </w:pPr>
      <w:r>
        <w:rPr>
          <w:rFonts w:ascii="Arial" w:hAnsi="Arial"/>
          <w:sz w:val="24"/>
        </w:rPr>
        <w:t>Neutron 進入首飛準備階段,技術驗證成功將大幅提升市場信心</w:t>
      </w:r>
    </w:p>
    <w:p>
      <w:pPr>
        <w:pStyle w:val="ListBullet"/>
      </w:pPr>
      <w:r>
        <w:rPr>
          <w:rFonts w:ascii="Arial" w:hAnsi="Arial"/>
          <w:sz w:val="24"/>
        </w:rPr>
        <w:t>國防訂單加速,Space Systems 業務佔比提升至 40%</w:t>
      </w:r>
    </w:p>
    <w:p>
      <w:pPr/>
      <w:r>
        <w:rPr>
          <w:rFonts w:ascii="Arial" w:hAnsi="Arial"/>
          <w:b/>
          <w:sz w:val="24"/>
        </w:rPr>
        <w:t>政策環境總體有利:</w:t>
      </w:r>
    </w:p>
    <w:p>
      <w:pPr/>
      <w:r>
        <w:rPr>
          <w:rFonts w:ascii="Arial" w:hAnsi="Arial"/>
          <w:sz w:val="24"/>
        </w:rPr>
        <w:t>美國政府在「大國競爭」戰略下持續加大太空投資,Space Force、SDA、NRO 等機構未來5年預算超過 $50B。Rocket Lab 作為 SpaceX 之外的主要替代選項,將受益於供應鏈多元化政策。</w:t>
      </w:r>
    </w:p>
    <w:p>
      <w:pPr/>
      <w:r>
        <w:rPr>
          <w:rFonts w:ascii="Arial" w:hAnsi="Arial"/>
          <w:b/>
          <w:sz w:val="24"/>
        </w:rPr>
        <w:t>主要風險:</w:t>
      </w:r>
    </w:p>
    <w:p>
      <w:pPr/>
      <w:r>
        <w:rPr>
          <w:rFonts w:ascii="Arial" w:hAnsi="Arial"/>
          <w:sz w:val="24"/>
        </w:rPr>
        <w:t>估值已處於歷史高位 (EV/Sales 44x),需要完美執行才能支撐。Neutron 開發與首飛是最大不確定性,任何延誤或失敗都將重創股價。此外,持續虧損與現金流為負意味著 2026-2027 可能需要額外融資。</w:t>
      </w:r>
    </w:p>
    <w:p>
      <w:pPr/>
      <w:r>
        <w:rPr>
          <w:rFonts w:ascii="Arial" w:hAnsi="Arial"/>
          <w:b/>
          <w:sz w:val="24"/>
        </w:rPr>
        <w:t>評級: 買進 (Buy) | 目標價: $85 (中性情境) | 潛在報酬: +14% | 風險評級: 高</w:t>
      </w:r>
    </w:p>
    <w:p>
      <w:pPr/>
      <w:r>
        <w:rPr>
          <w:rFonts w:ascii="Arial" w:hAnsi="Arial"/>
          <w:b/>
          <w:sz w:val="24"/>
        </w:rPr>
        <w:t>建議操作:</w:t>
      </w:r>
    </w:p>
    <w:p>
      <w:pPr>
        <w:pStyle w:val="ListBullet"/>
      </w:pPr>
      <w:r>
        <w:rPr>
          <w:rFonts w:ascii="Arial" w:hAnsi="Arial"/>
          <w:sz w:val="24"/>
        </w:rPr>
        <w:t>適合長期持有,但需密切追蹤 Neutron 進展與季度財報</w:t>
      </w:r>
    </w:p>
    <w:p>
      <w:pPr>
        <w:pStyle w:val="ListBullet"/>
      </w:pPr>
      <w:r>
        <w:rPr>
          <w:rFonts w:ascii="Arial" w:hAnsi="Arial"/>
          <w:sz w:val="24"/>
        </w:rPr>
        <w:t>若股價突破 $100,建議部分獲利了結</w:t>
      </w:r>
    </w:p>
    <w:p>
      <w:pPr>
        <w:pStyle w:val="ListBullet"/>
      </w:pPr>
      <w:r>
        <w:rPr>
          <w:rFonts w:ascii="Arial" w:hAnsi="Arial"/>
          <w:sz w:val="24"/>
        </w:rPr>
        <w:t>若 Neutron 首飛失敗,考慮在 $40-50 區間加倉</w:t>
      </w:r>
    </w:p>
    <w:p>
      <w:r>
        <w:t>__________________________________________________</w:t>
      </w:r>
    </w:p>
    <w:p>
      <w:pPr/>
      <w:r>
        <w:rPr>
          <w:rFonts w:ascii="Arial" w:hAnsi="Arial"/>
          <w:b/>
          <w:sz w:val="24"/>
        </w:rPr>
        <w:t>免責聲明:</w:t>
      </w:r>
      <w:r>
        <w:rPr>
          <w:rFonts w:ascii="Arial" w:hAnsi="Arial"/>
          <w:sz w:val="24"/>
        </w:rPr>
        <w:t xml:space="preserve"> 本報告僅供研究參考,不構成投資建議。投資涉及風險,過往表現不代表未來結果。請在投資前諮詢專業財務顧問並進行獨立判斷。</w:t>
      </w:r>
    </w:p>
    <w:p>
      <w:pPr/>
      <w:r>
        <w:rPr>
          <w:rFonts w:ascii="Arial" w:hAnsi="Arial"/>
          <w:b/>
          <w:sz w:val="24"/>
        </w:rPr>
        <w:t>報告編制:</w:t>
      </w:r>
      <w:r>
        <w:rPr>
          <w:rFonts w:ascii="Arial" w:hAnsi="Arial"/>
          <w:sz w:val="24"/>
        </w:rPr>
        <w:t xml:space="preserve"> AI 投資研究助理</w:t>
      </w:r>
    </w:p>
    <w:p>
      <w:pPr/>
      <w:r>
        <w:rPr>
          <w:rFonts w:ascii="Arial" w:hAnsi="Arial"/>
          <w:b/>
          <w:sz w:val="24"/>
        </w:rPr>
        <w:t>數據來源:</w:t>
      </w:r>
      <w:r>
        <w:rPr>
          <w:rFonts w:ascii="Arial" w:hAnsi="Arial"/>
          <w:sz w:val="24"/>
        </w:rPr>
        <w:t xml:space="preserve"> Financial Modeling Prep (FMP), Yahoo Finance, CNBC, SpaceNews, 公司公告</w:t>
      </w:r>
    </w:p>
    <w:p>
      <w:pPr/>
      <w:r>
        <w:rPr>
          <w:rFonts w:ascii="Arial" w:hAnsi="Arial"/>
          <w:b/>
          <w:sz w:val="24"/>
        </w:rPr>
        <w:t>最後更新:</w:t>
      </w:r>
      <w:r>
        <w:rPr>
          <w:rFonts w:ascii="Arial" w:hAnsi="Arial"/>
          <w:sz w:val="24"/>
        </w:rPr>
        <w:t xml:space="preserve"> 2026年2月19日</w:t>
      </w:r>
    </w:p>
    <w:p>
      <w:r>
        <w:t>__________________________________________________</w:t>
      </w:r>
    </w:p>
    <w:p>
      <w:pPr>
        <w:pStyle w:val="Heading2"/>
      </w:pPr>
      <w:r>
        <w:t>十二、競爭對手比較（2026補充）</w:t>
      </w:r>
    </w:p>
    <w:p>
      <w:pPr>
        <w:pStyle w:val="Heading3"/>
      </w:pPr>
      <w:r>
        <w:t>RKLB vs SpaceX / Firefly / Relativity Space</w:t>
      </w:r>
    </w:p>
    <w:p>
      <w:pPr>
        <w:pStyle w:val="ListBullet"/>
      </w:pPr>
      <w:r>
        <w:rPr>
          <w:rFonts w:ascii="Arial" w:hAnsi="Arial"/>
          <w:b/>
          <w:sz w:val="24"/>
        </w:rPr>
        <w:t>SpaceX：</w:t>
      </w:r>
      <w:r>
        <w:rPr>
          <w:rFonts w:ascii="Arial" w:hAnsi="Arial"/>
          <w:sz w:val="24"/>
        </w:rPr>
        <w:t xml:space="preserve"> 成本與發射頻率絕對領先，Starship 持續推進。</w:t>
      </w:r>
    </w:p>
    <w:p>
      <w:pPr>
        <w:pStyle w:val="ListBullet"/>
      </w:pPr>
      <w:r>
        <w:rPr>
          <w:rFonts w:ascii="Arial" w:hAnsi="Arial"/>
          <w:b/>
          <w:sz w:val="24"/>
        </w:rPr>
        <w:t>Firefly：</w:t>
      </w:r>
      <w:r>
        <w:rPr>
          <w:rFonts w:ascii="Arial" w:hAnsi="Arial"/>
          <w:sz w:val="24"/>
        </w:rPr>
        <w:t xml:space="preserve"> 小型火箭市場追趕中，可靠度仍在驗證。</w:t>
      </w:r>
    </w:p>
    <w:p>
      <w:pPr>
        <w:pStyle w:val="ListBullet"/>
      </w:pPr>
      <w:r>
        <w:rPr>
          <w:rFonts w:ascii="Arial" w:hAnsi="Arial"/>
          <w:b/>
          <w:sz w:val="24"/>
        </w:rPr>
        <w:t>Relativity：</w:t>
      </w:r>
      <w:r>
        <w:rPr>
          <w:rFonts w:ascii="Arial" w:hAnsi="Arial"/>
          <w:sz w:val="24"/>
        </w:rPr>
        <w:t xml:space="preserve"> Terran R 進度受關注，但商業化仍有時間差。</w:t>
      </w:r>
    </w:p>
    <w:p>
      <w:pPr>
        <w:pStyle w:val="ListBullet"/>
      </w:pPr>
      <w:r>
        <w:rPr>
          <w:rFonts w:ascii="Arial" w:hAnsi="Arial"/>
          <w:b/>
          <w:sz w:val="24"/>
        </w:rPr>
        <w:t>RKLB：</w:t>
      </w:r>
      <w:r>
        <w:rPr>
          <w:rFonts w:ascii="Arial" w:hAnsi="Arial"/>
          <w:sz w:val="24"/>
        </w:rPr>
        <w:t xml:space="preserve"> Electron 已商業驗證，Neutron 在中型火箭切入點明確。</w:t>
      </w:r>
    </w:p>
    <w:p>
      <w:pPr>
        <w:pStyle w:val="Heading3"/>
      </w:pPr>
      <w:r>
        <w:t>2026 差異化與勝負</w:t>
      </w:r>
    </w:p>
    <w:p>
      <w:pPr>
        <w:pStyle w:val="ListBullet"/>
      </w:pPr>
      <w:r>
        <w:rPr>
          <w:rFonts w:ascii="Arial" w:hAnsi="Arial"/>
          <w:b/>
          <w:sz w:val="24"/>
        </w:rPr>
        <w:t>規模戰：</w:t>
      </w:r>
      <w:r>
        <w:rPr>
          <w:rFonts w:ascii="Arial" w:hAnsi="Arial"/>
          <w:sz w:val="24"/>
        </w:rPr>
        <w:t xml:space="preserve"> SpaceX 勝</w:t>
      </w:r>
    </w:p>
    <w:p>
      <w:pPr>
        <w:pStyle w:val="ListBullet"/>
      </w:pPr>
      <w:r>
        <w:rPr>
          <w:rFonts w:ascii="Arial" w:hAnsi="Arial"/>
          <w:b/>
          <w:sz w:val="24"/>
        </w:rPr>
        <w:t>次佳替代供應商：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RKLB 勝</w:t>
      </w:r>
      <w:r>
        <w:rPr>
          <w:rFonts w:ascii="Arial" w:hAnsi="Arial"/>
          <w:sz w:val="24"/>
        </w:rPr>
        <w:t>（尤其美國政府多供應商策略）</w:t>
      </w:r>
    </w:p>
    <w:p>
      <w:pPr>
        <w:pStyle w:val="ListBullet"/>
      </w:pPr>
      <w:r>
        <w:rPr>
          <w:rFonts w:ascii="Arial" w:hAnsi="Arial"/>
          <w:b/>
          <w:sz w:val="24"/>
        </w:rPr>
        <w:t>結論：</w:t>
      </w:r>
      <w:r>
        <w:rPr>
          <w:rFonts w:ascii="Arial" w:hAnsi="Arial"/>
          <w:sz w:val="24"/>
        </w:rPr>
        <w:t xml:space="preserve"> RKLB 不是要打贏 SpaceX，而是要成為「第二名但可持續賺錢」的太空基建公司。</w:t>
      </w:r>
    </w:p>
    <w:p>
      <w:pPr>
        <w:pStyle w:val="Heading3"/>
      </w:pPr>
      <w:r>
        <w:t>RKLB 競爭對手比較（2026）</w:t>
      </w:r>
    </w:p>
    <w:p>
      <w:pPr>
        <w:pStyle w:val="ListBullet"/>
      </w:pPr>
      <w:r>
        <w:rPr>
          <w:rFonts w:ascii="Arial" w:hAnsi="Arial"/>
          <w:sz w:val="24"/>
        </w:rPr>
        <w:t>vs SpaceX：SpaceX 在成本與規模全面領先；RKLB 的策略是『美國政府第二供應商』定位。</w:t>
      </w:r>
    </w:p>
    <w:p>
      <w:pPr>
        <w:pStyle w:val="ListBullet"/>
      </w:pPr>
      <w:r>
        <w:rPr>
          <w:rFonts w:ascii="Arial" w:hAnsi="Arial"/>
          <w:sz w:val="24"/>
        </w:rPr>
        <w:t>vs Firefly：Firefly 仍在爬坡，RKLB 有更完整發射紀錄與供應鏈。</w:t>
      </w:r>
    </w:p>
    <w:p>
      <w:pPr>
        <w:pStyle w:val="ListBullet"/>
      </w:pPr>
      <w:r>
        <w:rPr>
          <w:rFonts w:ascii="Arial" w:hAnsi="Arial"/>
          <w:sz w:val="24"/>
        </w:rPr>
        <w:t>vs Relativity：Relativity 著重新製造路線，RKLB 在商業化與交付節奏更實際。</w:t>
      </w:r>
    </w:p>
    <w:p>
      <w:r>
        <w:br w:type="page"/>
      </w:r>
    </w:p>
    <w:p>
      <w:pPr>
        <w:pStyle w:val="Heading2"/>
      </w:pPr>
      <w:r>
        <w:t>第四部：AMD</w:t>
      </w:r>
    </w:p>
    <w:p>
      <w:pPr>
        <w:pStyle w:val="Heading1"/>
      </w:pPr>
      <w:r>
        <w:t>AMD（超微半導體）投資研究報告</w:t>
      </w:r>
    </w:p>
    <w:p>
      <w:pPr/>
      <w:r>
        <w:rPr>
          <w:rFonts w:ascii="Arial" w:hAnsi="Arial"/>
          <w:b/>
          <w:sz w:val="24"/>
        </w:rPr>
        <w:t>研究日期：</w:t>
      </w:r>
      <w:r>
        <w:rPr>
          <w:rFonts w:ascii="Arial" w:hAnsi="Arial"/>
          <w:sz w:val="24"/>
        </w:rPr>
        <w:t xml:space="preserve"> 2026年2月19日</w:t>
      </w:r>
    </w:p>
    <w:p>
      <w:pPr/>
      <w:r>
        <w:rPr>
          <w:rFonts w:ascii="Arial" w:hAnsi="Arial"/>
          <w:b/>
          <w:sz w:val="24"/>
        </w:rPr>
        <w:t>股價：</w:t>
      </w:r>
      <w:r>
        <w:rPr>
          <w:rFonts w:ascii="Arial" w:hAnsi="Arial"/>
          <w:sz w:val="24"/>
        </w:rPr>
        <w:t xml:space="preserve"> $200.12 USD</w:t>
      </w:r>
    </w:p>
    <w:p>
      <w:pPr/>
      <w:r>
        <w:rPr>
          <w:rFonts w:ascii="Arial" w:hAnsi="Arial"/>
          <w:b/>
          <w:sz w:val="24"/>
        </w:rPr>
        <w:t>市值：</w:t>
      </w:r>
      <w:r>
        <w:rPr>
          <w:rFonts w:ascii="Arial" w:hAnsi="Arial"/>
          <w:sz w:val="24"/>
        </w:rPr>
        <w:t xml:space="preserve"> $3,263億美元</w:t>
      </w:r>
    </w:p>
    <w:p>
      <w:pPr/>
      <w:r>
        <w:rPr>
          <w:rFonts w:ascii="Arial" w:hAnsi="Arial"/>
          <w:b/>
          <w:sz w:val="24"/>
        </w:rPr>
        <w:t>研究員：</w:t>
      </w:r>
      <w:r>
        <w:rPr>
          <w:rFonts w:ascii="Arial" w:hAnsi="Arial"/>
          <w:sz w:val="24"/>
        </w:rPr>
        <w:t xml:space="preserve"> OpenClaw AI Research</w:t>
      </w:r>
    </w:p>
    <w:p>
      <w:r>
        <w:t>__________________________________________________</w:t>
      </w:r>
    </w:p>
    <w:p>
      <w:pPr>
        <w:pStyle w:val="Heading2"/>
      </w:pPr>
      <w:r>
        <w:t>📊 執行摘要</w:t>
      </w:r>
    </w:p>
    <w:p>
      <w:pPr/>
      <w:r>
        <w:rPr>
          <w:rFonts w:ascii="Arial" w:hAnsi="Arial"/>
          <w:sz w:val="24"/>
        </w:rPr>
        <w:t xml:space="preserve">AMD 在 2025 財年交出亮眼成績單，營收達 </w:t>
      </w:r>
      <w:r>
        <w:rPr>
          <w:rFonts w:ascii="Arial" w:hAnsi="Arial"/>
          <w:b/>
          <w:sz w:val="24"/>
        </w:rPr>
        <w:t>$346.39億美元</w:t>
      </w:r>
      <w:r>
        <w:rPr>
          <w:rFonts w:ascii="Arial" w:hAnsi="Arial"/>
          <w:sz w:val="24"/>
        </w:rPr>
        <w:t xml:space="preserve">，年增 </w:t>
      </w:r>
      <w:r>
        <w:rPr>
          <w:rFonts w:ascii="Arial" w:hAnsi="Arial"/>
          <w:b/>
          <w:sz w:val="24"/>
        </w:rPr>
        <w:t>34.3%</w:t>
      </w:r>
      <w:r>
        <w:rPr>
          <w:rFonts w:ascii="Arial" w:hAnsi="Arial"/>
          <w:sz w:val="24"/>
        </w:rPr>
        <w:t xml:space="preserve">，淨利 </w:t>
      </w:r>
      <w:r>
        <w:rPr>
          <w:rFonts w:ascii="Arial" w:hAnsi="Arial"/>
          <w:b/>
          <w:sz w:val="24"/>
        </w:rPr>
        <w:t>$43.35億美元</w:t>
      </w:r>
      <w:r>
        <w:rPr>
          <w:rFonts w:ascii="Arial" w:hAnsi="Arial"/>
          <w:sz w:val="24"/>
        </w:rPr>
        <w:t xml:space="preserve">，年增 </w:t>
      </w:r>
      <w:r>
        <w:rPr>
          <w:rFonts w:ascii="Arial" w:hAnsi="Arial"/>
          <w:b/>
          <w:sz w:val="24"/>
        </w:rPr>
        <w:t>164%</w:t>
      </w:r>
      <w:r>
        <w:rPr>
          <w:rFonts w:ascii="Arial" w:hAnsi="Arial"/>
          <w:sz w:val="24"/>
        </w:rPr>
        <w:t>。數據中心業務成為最大增長引擎，AI GPU（MI300系列）加速放量，EPYC 伺服器 CPU 市占率持續攀升。</w:t>
      </w:r>
    </w:p>
    <w:p>
      <w:pPr/>
      <w:r>
        <w:rPr>
          <w:rFonts w:ascii="Arial" w:hAnsi="Arial"/>
          <w:b/>
          <w:sz w:val="24"/>
        </w:rPr>
        <w:t>關鍵亮點：</w:t>
      </w:r>
    </w:p>
    <w:p>
      <w:pPr>
        <w:pStyle w:val="ListBullet"/>
      </w:pPr>
      <w:r>
        <w:rPr>
          <w:rFonts w:ascii="Arial" w:hAnsi="Arial"/>
          <w:sz w:val="24"/>
        </w:rPr>
        <w:t xml:space="preserve">🚀 </w:t>
      </w:r>
      <w:r>
        <w:rPr>
          <w:rFonts w:ascii="Arial" w:hAnsi="Arial"/>
          <w:b/>
          <w:sz w:val="24"/>
        </w:rPr>
        <w:t>數據中心營收</w:t>
      </w:r>
      <w:r>
        <w:rPr>
          <w:rFonts w:ascii="Arial" w:hAnsi="Arial"/>
          <w:sz w:val="24"/>
        </w:rPr>
        <w:t>：$166.35億（+32.3% YoY），佔總營收 48%</w:t>
      </w:r>
    </w:p>
    <w:p>
      <w:pPr>
        <w:pStyle w:val="ListBullet"/>
      </w:pPr>
      <w:r>
        <w:rPr>
          <w:rFonts w:ascii="Arial" w:hAnsi="Arial"/>
          <w:sz w:val="24"/>
        </w:rPr>
        <w:t xml:space="preserve">💰 </w:t>
      </w:r>
      <w:r>
        <w:rPr>
          <w:rFonts w:ascii="Arial" w:hAnsi="Arial"/>
          <w:b/>
          <w:sz w:val="24"/>
        </w:rPr>
        <w:t>毛利率</w:t>
      </w:r>
      <w:r>
        <w:rPr>
          <w:rFonts w:ascii="Arial" w:hAnsi="Arial"/>
          <w:sz w:val="24"/>
        </w:rPr>
        <w:t>：49.5%（+0.1pp），淨利率 12.5%（+6.1pp）</w:t>
      </w:r>
    </w:p>
    <w:p>
      <w:pPr>
        <w:pStyle w:val="ListBullet"/>
      </w:pPr>
      <w:r>
        <w:rPr>
          <w:rFonts w:ascii="Arial" w:hAnsi="Arial"/>
          <w:sz w:val="24"/>
        </w:rPr>
        <w:t xml:space="preserve">💵 </w:t>
      </w:r>
      <w:r>
        <w:rPr>
          <w:rFonts w:ascii="Arial" w:hAnsi="Arial"/>
          <w:b/>
          <w:sz w:val="24"/>
        </w:rPr>
        <w:t>自由現金流</w:t>
      </w:r>
      <w:r>
        <w:rPr>
          <w:rFonts w:ascii="Arial" w:hAnsi="Arial"/>
          <w:sz w:val="24"/>
        </w:rPr>
        <w:t>：$67.35億（+180%），營運現金流 $77.09億</w:t>
      </w:r>
    </w:p>
    <w:p>
      <w:pPr>
        <w:pStyle w:val="ListBullet"/>
      </w:pPr>
      <w:r>
        <w:rPr>
          <w:rFonts w:ascii="Arial" w:hAnsi="Arial"/>
          <w:sz w:val="24"/>
        </w:rPr>
        <w:t xml:space="preserve">🎯 </w:t>
      </w:r>
      <w:r>
        <w:rPr>
          <w:rFonts w:ascii="Arial" w:hAnsi="Arial"/>
          <w:b/>
          <w:sz w:val="24"/>
        </w:rPr>
        <w:t>Q4'25 強勁</w:t>
      </w:r>
      <w:r>
        <w:rPr>
          <w:rFonts w:ascii="Arial" w:hAnsi="Arial"/>
          <w:sz w:val="24"/>
        </w:rPr>
        <w:t>：營收 $102.7億（+34.1% YoY），毛利率 51.4%</w:t>
      </w:r>
    </w:p>
    <w:p>
      <w:pPr/>
      <w:r>
        <w:rPr>
          <w:rFonts w:ascii="Arial" w:hAnsi="Arial"/>
          <w:b/>
          <w:sz w:val="24"/>
        </w:rPr>
        <w:t>核心投資問題：毛利率突破點在哪裡？</w:t>
      </w:r>
    </w:p>
    <w:p>
      <w:pPr/>
      <w:r>
        <w:rPr>
          <w:rFonts w:ascii="Arial" w:hAnsi="Arial"/>
          <w:sz w:val="24"/>
        </w:rPr>
        <w:t>AMD 淨利率 12.5% vs NVIDIA 55%。本報告深入分析毛利率擴張的催化劑與潛在路徑。</w:t>
      </w:r>
    </w:p>
    <w:p>
      <w:r>
        <w:t>__________________________________________________</w:t>
      </w:r>
    </w:p>
    <w:p>
      <w:pPr>
        <w:pStyle w:val="Heading2"/>
      </w:pPr>
      <w:r>
        <w:t>🏢 公司概況</w:t>
      </w:r>
    </w:p>
    <w:p>
      <w:pPr/>
      <w:r>
        <w:rPr>
          <w:rFonts w:ascii="Arial" w:hAnsi="Arial"/>
          <w:b/>
          <w:sz w:val="24"/>
        </w:rPr>
        <w:t>基本資料</w:t>
      </w:r>
    </w:p>
    <w:p>
      <w:pPr>
        <w:pStyle w:val="ListBullet"/>
      </w:pPr>
      <w:r>
        <w:rPr>
          <w:rFonts w:ascii="Arial" w:hAnsi="Arial"/>
          <w:b/>
          <w:sz w:val="24"/>
        </w:rPr>
        <w:t>公司名稱</w:t>
      </w:r>
      <w:r>
        <w:rPr>
          <w:rFonts w:ascii="Arial" w:hAnsi="Arial"/>
          <w:sz w:val="24"/>
        </w:rPr>
        <w:t>：Advanced Micro Devices, Inc.</w:t>
      </w:r>
    </w:p>
    <w:p>
      <w:pPr>
        <w:pStyle w:val="ListBullet"/>
      </w:pPr>
      <w:r>
        <w:rPr>
          <w:rFonts w:ascii="Arial" w:hAnsi="Arial"/>
          <w:b/>
          <w:sz w:val="24"/>
        </w:rPr>
        <w:t>股票代碼</w:t>
      </w:r>
      <w:r>
        <w:rPr>
          <w:rFonts w:ascii="Arial" w:hAnsi="Arial"/>
          <w:sz w:val="24"/>
        </w:rPr>
        <w:t>：NASDAQ: AMD</w:t>
      </w:r>
    </w:p>
    <w:p>
      <w:pPr>
        <w:pStyle w:val="ListBullet"/>
      </w:pPr>
      <w:r>
        <w:rPr>
          <w:rFonts w:ascii="Arial" w:hAnsi="Arial"/>
          <w:b/>
          <w:sz w:val="24"/>
        </w:rPr>
        <w:t>創立時間</w:t>
      </w:r>
      <w:r>
        <w:rPr>
          <w:rFonts w:ascii="Arial" w:hAnsi="Arial"/>
          <w:sz w:val="24"/>
        </w:rPr>
        <w:t>：1969年</w:t>
      </w:r>
    </w:p>
    <w:p>
      <w:pPr>
        <w:pStyle w:val="ListBullet"/>
      </w:pPr>
      <w:r>
        <w:rPr>
          <w:rFonts w:ascii="Arial" w:hAnsi="Arial"/>
          <w:b/>
          <w:sz w:val="24"/>
        </w:rPr>
        <w:t>總部</w:t>
      </w:r>
      <w:r>
        <w:rPr>
          <w:rFonts w:ascii="Arial" w:hAnsi="Arial"/>
          <w:sz w:val="24"/>
        </w:rPr>
        <w:t>：美國加州聖塔克拉拉</w:t>
      </w:r>
    </w:p>
    <w:p>
      <w:pPr>
        <w:pStyle w:val="ListBullet"/>
      </w:pPr>
      <w:r>
        <w:rPr>
          <w:rFonts w:ascii="Arial" w:hAnsi="Arial"/>
          <w:b/>
          <w:sz w:val="24"/>
        </w:rPr>
        <w:t>執行長</w:t>
      </w:r>
      <w:r>
        <w:rPr>
          <w:rFonts w:ascii="Arial" w:hAnsi="Arial"/>
          <w:sz w:val="24"/>
        </w:rPr>
        <w:t>：蘇姿丰博士（Lisa Su）</w:t>
      </w:r>
    </w:p>
    <w:p>
      <w:pPr>
        <w:pStyle w:val="ListBullet"/>
      </w:pPr>
      <w:r>
        <w:rPr>
          <w:rFonts w:ascii="Arial" w:hAnsi="Arial"/>
          <w:b/>
          <w:sz w:val="24"/>
        </w:rPr>
        <w:t>員工數</w:t>
      </w:r>
      <w:r>
        <w:rPr>
          <w:rFonts w:ascii="Arial" w:hAnsi="Arial"/>
          <w:sz w:val="24"/>
        </w:rPr>
        <w:t>：約 28,000人（+11% YoY）</w:t>
      </w:r>
    </w:p>
    <w:p>
      <w:pPr>
        <w:pStyle w:val="ListBullet"/>
      </w:pPr>
      <w:r>
        <w:rPr>
          <w:rFonts w:ascii="Arial" w:hAnsi="Arial"/>
          <w:b/>
          <w:sz w:val="24"/>
        </w:rPr>
        <w:t>產業</w:t>
      </w:r>
      <w:r>
        <w:rPr>
          <w:rFonts w:ascii="Arial" w:hAnsi="Arial"/>
          <w:sz w:val="24"/>
        </w:rPr>
        <w:t>：半導體、AI加速器、CPU、GPU</w:t>
      </w:r>
    </w:p>
    <w:p>
      <w:pPr/>
      <w:r>
        <w:rPr>
          <w:rFonts w:ascii="Arial" w:hAnsi="Arial"/>
          <w:b/>
          <w:sz w:val="24"/>
        </w:rPr>
        <w:t>業務範疇</w:t>
      </w:r>
    </w:p>
    <w:p>
      <w:pPr/>
      <w:r>
        <w:rPr>
          <w:rFonts w:ascii="Arial" w:hAnsi="Arial"/>
          <w:sz w:val="24"/>
        </w:rPr>
        <w:t>AMD 是全球領先的高效能運算與圖形處理解決方案供應商，提供：</w:t>
      </w:r>
    </w:p>
    <w:p>
      <w:pPr>
        <w:pStyle w:val="ListBullet"/>
      </w:pPr>
      <w:r>
        <w:rPr>
          <w:rFonts w:ascii="Arial" w:hAnsi="Arial"/>
          <w:b/>
          <w:sz w:val="24"/>
        </w:rPr>
        <w:t>x86 處理器</w:t>
      </w:r>
      <w:r>
        <w:rPr>
          <w:rFonts w:ascii="Arial" w:hAnsi="Arial"/>
          <w:sz w:val="24"/>
        </w:rPr>
        <w:t>（桌面、筆電、伺服器）</w:t>
      </w:r>
    </w:p>
    <w:p>
      <w:pPr>
        <w:pStyle w:val="ListBullet"/>
      </w:pPr>
      <w:r>
        <w:rPr>
          <w:rFonts w:ascii="Arial" w:hAnsi="Arial"/>
          <w:b/>
          <w:sz w:val="24"/>
        </w:rPr>
        <w:t>GPU 與 AI 加速器</w:t>
      </w:r>
      <w:r>
        <w:rPr>
          <w:rFonts w:ascii="Arial" w:hAnsi="Arial"/>
          <w:sz w:val="24"/>
        </w:rPr>
        <w:t>（Instinct MI 系列）</w:t>
      </w:r>
    </w:p>
    <w:p>
      <w:pPr>
        <w:pStyle w:val="ListBullet"/>
      </w:pPr>
      <w:r>
        <w:rPr>
          <w:rFonts w:ascii="Arial" w:hAnsi="Arial"/>
          <w:b/>
          <w:sz w:val="24"/>
        </w:rPr>
        <w:t>FPGA 與自適應 SoC</w:t>
      </w:r>
      <w:r>
        <w:rPr>
          <w:rFonts w:ascii="Arial" w:hAnsi="Arial"/>
          <w:sz w:val="24"/>
        </w:rPr>
        <w:t>（Xilinx 產品線）</w:t>
      </w:r>
    </w:p>
    <w:p>
      <w:pPr>
        <w:pStyle w:val="ListBullet"/>
      </w:pPr>
      <w:r>
        <w:rPr>
          <w:rFonts w:ascii="Arial" w:hAnsi="Arial"/>
          <w:b/>
          <w:sz w:val="24"/>
        </w:rPr>
        <w:t>嵌入式處理器</w:t>
      </w:r>
      <w:r>
        <w:rPr>
          <w:rFonts w:ascii="Arial" w:hAnsi="Arial"/>
          <w:sz w:val="24"/>
        </w:rPr>
        <w:t>（工業、汽車、電信）</w:t>
      </w:r>
    </w:p>
    <w:p>
      <w:r>
        <w:t>__________________________________________________</w:t>
      </w:r>
    </w:p>
    <w:p>
      <w:pPr>
        <w:pStyle w:val="Heading2"/>
      </w:pPr>
      <w:r>
        <w:t>💼 2025 年財務表現</w:t>
      </w:r>
    </w:p>
    <w:p>
      <w:pPr>
        <w:pStyle w:val="Heading3"/>
      </w:pPr>
      <w:r>
        <w:t>營收與獲利分析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項目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2025 FY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2024 FY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YoY 變化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**營收**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$346.39億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$257.85億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+34.3%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**毛利**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$171.52億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$127.25億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+34.8%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**毛利率**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49.5%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49.4%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+0.1pp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**營業利益**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$36.94億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$19.00億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+94.4%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**營業利益率**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10.7%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7.4%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+3.3pp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**淨利**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$43.35億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$16.41億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+164.2%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**淨利率**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12.5%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6.4%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+6.1pp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**稀釋 EPS**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$2.65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$1.00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+165%</w:t>
            </w:r>
          </w:p>
        </w:tc>
      </w:tr>
    </w:tbl>
    <w:p>
      <w:pPr/>
      <w:r>
        <w:rPr>
          <w:rFonts w:ascii="Arial" w:hAnsi="Arial"/>
          <w:b/>
          <w:sz w:val="24"/>
        </w:rPr>
        <w:t>關鍵觀察：</w:t>
      </w:r>
    </w:p>
    <w:p>
      <w:pPr>
        <w:pStyle w:val="ListNumber"/>
      </w:pPr>
      <w:r>
        <w:rPr>
          <w:rFonts w:ascii="Arial" w:hAnsi="Arial"/>
          <w:b/>
          <w:sz w:val="24"/>
        </w:rPr>
        <w:t>毛利率持平</w:t>
      </w:r>
      <w:r>
        <w:rPr>
          <w:rFonts w:ascii="Arial" w:hAnsi="Arial"/>
          <w:sz w:val="24"/>
        </w:rPr>
        <w:t>：49.5% 幾乎與去年持平，顯示產品組合仍在優化中</w:t>
      </w:r>
    </w:p>
    <w:p>
      <w:pPr>
        <w:pStyle w:val="ListNumber"/>
      </w:pPr>
      <w:r>
        <w:rPr>
          <w:rFonts w:ascii="Arial" w:hAnsi="Arial"/>
          <w:b/>
          <w:sz w:val="24"/>
        </w:rPr>
        <w:t>營業槓桿顯現</w:t>
      </w:r>
      <w:r>
        <w:rPr>
          <w:rFonts w:ascii="Arial" w:hAnsi="Arial"/>
          <w:sz w:val="24"/>
        </w:rPr>
        <w:t>：營業利益率從 7.4% → 10.7%，費用率改善</w:t>
      </w:r>
    </w:p>
    <w:p>
      <w:pPr>
        <w:pStyle w:val="ListNumber"/>
      </w:pPr>
      <w:r>
        <w:rPr>
          <w:rFonts w:ascii="Arial" w:hAnsi="Arial"/>
          <w:b/>
          <w:sz w:val="24"/>
        </w:rPr>
        <w:t>淨利率大幅提升</w:t>
      </w:r>
      <w:r>
        <w:rPr>
          <w:rFonts w:ascii="Arial" w:hAnsi="Arial"/>
          <w:sz w:val="24"/>
        </w:rPr>
        <w:t>：從 6.4% → 12.5%，但仍遠低於 NVIDIA 的 55%</w:t>
      </w:r>
    </w:p>
    <w:p>
      <w:pPr>
        <w:pStyle w:val="Heading3"/>
      </w:pPr>
      <w:r>
        <w:t>季度表現趨勢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季度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營收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毛利率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淨利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EPS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Q4'25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$102.7億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54.3%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$15.1億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$0.92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Q3'25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$92.5億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51.7%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$12.4億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$0.76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Q2'25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$76.9億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39.8%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$8.7億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$0.54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Q1'25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$74.4億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50.2%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$7.1億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$0.44</w:t>
            </w:r>
          </w:p>
        </w:tc>
      </w:tr>
    </w:tbl>
    <w:p>
      <w:pPr/>
      <w:r>
        <w:rPr>
          <w:rFonts w:ascii="Arial" w:hAnsi="Arial"/>
          <w:b/>
          <w:sz w:val="24"/>
        </w:rPr>
        <w:t>Q4'25 亮點：</w:t>
      </w:r>
    </w:p>
    <w:p>
      <w:pPr>
        <w:pStyle w:val="ListBullet"/>
      </w:pPr>
      <w:r>
        <w:rPr>
          <w:rFonts w:ascii="Arial" w:hAnsi="Arial"/>
          <w:sz w:val="24"/>
        </w:rPr>
        <w:t>營收首次突破百億美元（$102.7億，+34.1% YoY）</w:t>
      </w:r>
    </w:p>
    <w:p>
      <w:pPr>
        <w:pStyle w:val="ListBullet"/>
      </w:pPr>
      <w:r>
        <w:rPr>
          <w:rFonts w:ascii="Arial" w:hAnsi="Arial"/>
          <w:b/>
          <w:sz w:val="24"/>
        </w:rPr>
        <w:t>毛利率達 54.3%</w:t>
      </w:r>
      <w:r>
        <w:rPr>
          <w:rFonts w:ascii="Arial" w:hAnsi="Arial"/>
          <w:sz w:val="24"/>
        </w:rPr>
        <w:t>（歷史新高），顯示高毛利 AI GPU 出貨增加</w:t>
      </w:r>
    </w:p>
    <w:p>
      <w:pPr>
        <w:pStyle w:val="ListBullet"/>
      </w:pPr>
      <w:r>
        <w:rPr>
          <w:rFonts w:ascii="Arial" w:hAnsi="Arial"/>
          <w:sz w:val="24"/>
        </w:rPr>
        <w:t>數據中心業務加速成長</w:t>
      </w:r>
    </w:p>
    <w:p>
      <w:r>
        <w:t>__________________________________________________</w:t>
      </w:r>
    </w:p>
    <w:p>
      <w:pPr>
        <w:pStyle w:val="Heading2"/>
      </w:pPr>
      <w:r>
        <w:t>📈 業務分部表現（2025 FY）</w:t>
      </w:r>
    </w:p>
    <w:p>
      <w:pPr>
        <w:pStyle w:val="Heading3"/>
      </w:pPr>
      <w:r>
        <w:t>營收結構拆解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分部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2025 FY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2024 FY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YoY 變化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佔比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**數據中心**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$166.35億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$125.79億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+32.3%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**48.0%**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**客戶端 + 遊戲**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$145.5億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$70.54億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+106.2%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42.0%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**遊戲（獨立）**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$39.1億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$25.95億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+50.7%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11.3%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**嵌入式**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$34.54億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$35.57億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-2.9%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10.0%</w:t>
            </w:r>
          </w:p>
        </w:tc>
      </w:tr>
    </w:tbl>
    <w:p>
      <w:pPr>
        <w:pStyle w:val="Heading3"/>
      </w:pPr>
      <w:r>
        <w:t>1. 數據中心（Data Center）—— 🚀 最強引擎</w:t>
      </w:r>
    </w:p>
    <w:p>
      <w:pPr/>
      <w:r>
        <w:rPr>
          <w:rFonts w:ascii="Arial" w:hAnsi="Arial"/>
          <w:b/>
          <w:sz w:val="24"/>
        </w:rPr>
        <w:t>營收：$166.35億（+32.3% YoY）</w:t>
      </w:r>
    </w:p>
    <w:p>
      <w:pPr/>
      <w:r>
        <w:rPr>
          <w:rFonts w:ascii="Arial" w:hAnsi="Arial"/>
          <w:b/>
          <w:sz w:val="24"/>
        </w:rPr>
        <w:t>成長動能：</w:t>
      </w:r>
    </w:p>
    <w:p>
      <w:pPr>
        <w:pStyle w:val="ListBullet"/>
      </w:pPr>
      <w:r>
        <w:rPr>
          <w:rFonts w:ascii="Arial" w:hAnsi="Arial"/>
          <w:b/>
          <w:sz w:val="24"/>
        </w:rPr>
        <w:t>AI GPU（MI300X）</w:t>
      </w:r>
      <w:r>
        <w:rPr>
          <w:rFonts w:ascii="Arial" w:hAnsi="Arial"/>
          <w:sz w:val="24"/>
        </w:rPr>
        <w:t>：市場需求爆發，雲端客戶（Microsoft Azure、Meta、Oracle）大規模部署</w:t>
      </w:r>
    </w:p>
    <w:p>
      <w:pPr>
        <w:pStyle w:val="ListBullet"/>
      </w:pPr>
      <w:r>
        <w:rPr>
          <w:rFonts w:ascii="Arial" w:hAnsi="Arial"/>
          <w:b/>
          <w:sz w:val="24"/>
        </w:rPr>
        <w:t>EPYC 伺服器 CPU</w:t>
      </w:r>
      <w:r>
        <w:rPr>
          <w:rFonts w:ascii="Arial" w:hAnsi="Arial"/>
          <w:sz w:val="24"/>
        </w:rPr>
        <w:t xml:space="preserve">：市佔率持續提升至 </w:t>
      </w:r>
      <w:r>
        <w:rPr>
          <w:rFonts w:ascii="Arial" w:hAnsi="Arial"/>
          <w:b/>
          <w:sz w:val="24"/>
        </w:rPr>
        <w:t>25-30%</w:t>
      </w:r>
      <w:r>
        <w:rPr>
          <w:rFonts w:ascii="Arial" w:hAnsi="Arial"/>
          <w:sz w:val="24"/>
        </w:rPr>
        <w:t>（vs Intel），企業級與雲端需求強勁</w:t>
      </w:r>
    </w:p>
    <w:p>
      <w:pPr>
        <w:pStyle w:val="ListBullet"/>
      </w:pPr>
      <w:r>
        <w:rPr>
          <w:rFonts w:ascii="Arial" w:hAnsi="Arial"/>
          <w:b/>
          <w:sz w:val="24"/>
        </w:rPr>
        <w:t>Xilinx FPGA</w:t>
      </w:r>
      <w:r>
        <w:rPr>
          <w:rFonts w:ascii="Arial" w:hAnsi="Arial"/>
          <w:sz w:val="24"/>
        </w:rPr>
        <w:t>：電信與網路加速應用穩定成長</w:t>
      </w:r>
    </w:p>
    <w:p>
      <w:pPr/>
      <w:r>
        <w:rPr>
          <w:rFonts w:ascii="Arial" w:hAnsi="Arial"/>
          <w:b/>
          <w:sz w:val="24"/>
        </w:rPr>
        <w:t>毛利率分析：</w:t>
      </w:r>
    </w:p>
    <w:p>
      <w:pPr>
        <w:pStyle w:val="ListBullet"/>
      </w:pPr>
      <w:r>
        <w:rPr>
          <w:rFonts w:ascii="Arial" w:hAnsi="Arial"/>
          <w:sz w:val="24"/>
        </w:rPr>
        <w:t xml:space="preserve">EPYC CPU 毛利率約 </w:t>
      </w:r>
      <w:r>
        <w:rPr>
          <w:rFonts w:ascii="Arial" w:hAnsi="Arial"/>
          <w:b/>
          <w:sz w:val="24"/>
        </w:rPr>
        <w:t>50-55%</w:t>
      </w:r>
    </w:p>
    <w:p>
      <w:pPr>
        <w:pStyle w:val="ListBullet"/>
      </w:pPr>
      <w:r>
        <w:rPr>
          <w:rFonts w:ascii="Arial" w:hAnsi="Arial"/>
          <w:sz w:val="24"/>
        </w:rPr>
        <w:t xml:space="preserve">MI300X AI GPU 毛利率估計 </w:t>
      </w:r>
      <w:r>
        <w:rPr>
          <w:rFonts w:ascii="Arial" w:hAnsi="Arial"/>
          <w:b/>
          <w:sz w:val="24"/>
        </w:rPr>
        <w:t>60-65%</w:t>
      </w:r>
      <w:r>
        <w:rPr>
          <w:rFonts w:ascii="Arial" w:hAnsi="Arial"/>
          <w:sz w:val="24"/>
        </w:rPr>
        <w:t>（HBM 成本仍高，低於 NVIDIA H100 的 75%+）</w:t>
      </w:r>
    </w:p>
    <w:p>
      <w:pPr>
        <w:pStyle w:val="ListBullet"/>
      </w:pPr>
      <w:r>
        <w:rPr>
          <w:rFonts w:ascii="Arial" w:hAnsi="Arial"/>
          <w:sz w:val="24"/>
        </w:rPr>
        <w:t xml:space="preserve">整體數據中心毛利率約 </w:t>
      </w:r>
      <w:r>
        <w:rPr>
          <w:rFonts w:ascii="Arial" w:hAnsi="Arial"/>
          <w:b/>
          <w:sz w:val="24"/>
        </w:rPr>
        <w:t>55-60%</w:t>
      </w:r>
    </w:p>
    <w:p>
      <w:pPr/>
      <w:r>
        <w:rPr>
          <w:rFonts w:ascii="Arial" w:hAnsi="Arial"/>
          <w:b/>
          <w:sz w:val="24"/>
        </w:rPr>
        <w:t>2026 展望：</w:t>
      </w:r>
    </w:p>
    <w:p>
      <w:pPr>
        <w:pStyle w:val="ListBullet"/>
      </w:pPr>
      <w:r>
        <w:rPr>
          <w:rFonts w:ascii="Arial" w:hAnsi="Arial"/>
          <w:b/>
          <w:sz w:val="24"/>
        </w:rPr>
        <w:t>MI350/MI400 系列</w:t>
      </w:r>
      <w:r>
        <w:rPr>
          <w:rFonts w:ascii="Arial" w:hAnsi="Arial"/>
          <w:sz w:val="24"/>
        </w:rPr>
        <w:t>：預計 2026 下半年推出，採用台積電 3nm，性能對標 NVIDIA Blackwell</w:t>
      </w:r>
    </w:p>
    <w:p>
      <w:pPr>
        <w:pStyle w:val="ListBullet"/>
      </w:pPr>
      <w:r>
        <w:rPr>
          <w:rFonts w:ascii="Arial" w:hAnsi="Arial"/>
          <w:b/>
          <w:sz w:val="24"/>
        </w:rPr>
        <w:t>EPYC Turin</w:t>
      </w:r>
      <w:r>
        <w:rPr>
          <w:rFonts w:ascii="Arial" w:hAnsi="Arial"/>
          <w:sz w:val="24"/>
        </w:rPr>
        <w:t>：Zen 5 架構伺服器 CPU，預計市佔率衝 35%</w:t>
      </w:r>
    </w:p>
    <w:p>
      <w:pPr>
        <w:pStyle w:val="ListBullet"/>
      </w:pPr>
      <w:r>
        <w:rPr>
          <w:rFonts w:ascii="Arial" w:hAnsi="Arial"/>
          <w:sz w:val="24"/>
        </w:rPr>
        <w:t>數據中心營收目標：</w:t>
      </w:r>
      <w:r>
        <w:rPr>
          <w:rFonts w:ascii="Arial" w:hAnsi="Arial"/>
          <w:b/>
          <w:sz w:val="24"/>
        </w:rPr>
        <w:t>$220-240億</w:t>
      </w:r>
      <w:r>
        <w:rPr>
          <w:rFonts w:ascii="Arial" w:hAnsi="Arial"/>
          <w:sz w:val="24"/>
        </w:rPr>
        <w:t>（+32-44%）</w:t>
      </w:r>
    </w:p>
    <w:p>
      <w:pPr>
        <w:pStyle w:val="Heading3"/>
      </w:pPr>
      <w:r>
        <w:t>2. 客戶端 + 遊戲（Client &amp; Gaming）</w:t>
      </w:r>
    </w:p>
    <w:p>
      <w:pPr/>
      <w:r>
        <w:rPr>
          <w:rFonts w:ascii="Arial" w:hAnsi="Arial"/>
          <w:b/>
          <w:sz w:val="24"/>
        </w:rPr>
        <w:t>營收：$145.5億（+106% YoY）</w:t>
      </w:r>
    </w:p>
    <w:p>
      <w:pPr/>
      <w:r>
        <w:rPr>
          <w:rFonts w:ascii="Arial" w:hAnsi="Arial"/>
          <w:b/>
          <w:sz w:val="24"/>
        </w:rPr>
        <w:t>Client（個人電腦）：</w:t>
      </w:r>
    </w:p>
    <w:p>
      <w:pPr>
        <w:pStyle w:val="ListBullet"/>
      </w:pPr>
      <w:r>
        <w:rPr>
          <w:rFonts w:ascii="Arial" w:hAnsi="Arial"/>
          <w:b/>
          <w:sz w:val="24"/>
        </w:rPr>
        <w:t>Ryzen AI 處理器</w:t>
      </w:r>
      <w:r>
        <w:rPr>
          <w:rFonts w:ascii="Arial" w:hAnsi="Arial"/>
          <w:sz w:val="24"/>
        </w:rPr>
        <w:t>：搭載 XDNA NPU，支援 Windows Copilot+，出貨量大增</w:t>
      </w:r>
    </w:p>
    <w:p>
      <w:pPr>
        <w:pStyle w:val="ListBullet"/>
      </w:pPr>
      <w:r>
        <w:rPr>
          <w:rFonts w:ascii="Arial" w:hAnsi="Arial"/>
          <w:sz w:val="24"/>
        </w:rPr>
        <w:t xml:space="preserve">PC 市場復甦 + AI PC 換機潮，市佔率從 </w:t>
      </w:r>
      <w:r>
        <w:rPr>
          <w:rFonts w:ascii="Arial" w:hAnsi="Arial"/>
          <w:b/>
          <w:sz w:val="24"/>
        </w:rPr>
        <w:t>18% → 22%</w:t>
      </w:r>
    </w:p>
    <w:p>
      <w:pPr>
        <w:pStyle w:val="ListBullet"/>
      </w:pPr>
      <w:r>
        <w:rPr>
          <w:rFonts w:ascii="Arial" w:hAnsi="Arial"/>
          <w:sz w:val="24"/>
        </w:rPr>
        <w:t xml:space="preserve">毛利率約 </w:t>
      </w:r>
      <w:r>
        <w:rPr>
          <w:rFonts w:ascii="Arial" w:hAnsi="Arial"/>
          <w:b/>
          <w:sz w:val="24"/>
        </w:rPr>
        <w:t>40-45%</w:t>
      </w:r>
      <w:r>
        <w:rPr>
          <w:rFonts w:ascii="Arial" w:hAnsi="Arial"/>
          <w:sz w:val="24"/>
        </w:rPr>
        <w:t>（競爭激烈，但 AI PC 溢價提升）</w:t>
      </w:r>
    </w:p>
    <w:p>
      <w:pPr/>
      <w:r>
        <w:rPr>
          <w:rFonts w:ascii="Arial" w:hAnsi="Arial"/>
          <w:b/>
          <w:sz w:val="24"/>
        </w:rPr>
        <w:t>Gaming（遊戲主機 + GPU）：</w:t>
      </w:r>
    </w:p>
    <w:p>
      <w:pPr>
        <w:pStyle w:val="ListBullet"/>
      </w:pPr>
      <w:r>
        <w:rPr>
          <w:rFonts w:ascii="Arial" w:hAnsi="Arial"/>
          <w:b/>
          <w:sz w:val="24"/>
        </w:rPr>
        <w:t>Radeon RX 7000 系列</w:t>
      </w:r>
      <w:r>
        <w:rPr>
          <w:rFonts w:ascii="Arial" w:hAnsi="Arial"/>
          <w:sz w:val="24"/>
        </w:rPr>
        <w:t>：桌上型 GPU 市佔約 12%（vs NVIDIA 88%）</w:t>
      </w:r>
    </w:p>
    <w:p>
      <w:pPr>
        <w:pStyle w:val="ListBullet"/>
      </w:pPr>
      <w:r>
        <w:rPr>
          <w:rFonts w:ascii="Arial" w:hAnsi="Arial"/>
          <w:b/>
          <w:sz w:val="24"/>
        </w:rPr>
        <w:t>半客製化晶片</w:t>
      </w:r>
      <w:r>
        <w:rPr>
          <w:rFonts w:ascii="Arial" w:hAnsi="Arial"/>
          <w:sz w:val="24"/>
        </w:rPr>
        <w:t xml:space="preserve">：PS5、Xbox Series X 穩定出貨，毛利率 </w:t>
      </w:r>
      <w:r>
        <w:rPr>
          <w:rFonts w:ascii="Arial" w:hAnsi="Arial"/>
          <w:b/>
          <w:sz w:val="24"/>
        </w:rPr>
        <w:t>30-35%</w:t>
      </w:r>
    </w:p>
    <w:p>
      <w:pPr/>
      <w:r>
        <w:rPr>
          <w:rFonts w:ascii="Arial" w:hAnsi="Arial"/>
          <w:b/>
          <w:sz w:val="24"/>
        </w:rPr>
        <w:t>挑戰：</w:t>
      </w:r>
    </w:p>
    <w:p>
      <w:pPr>
        <w:pStyle w:val="ListBullet"/>
      </w:pPr>
      <w:r>
        <w:rPr>
          <w:rFonts w:ascii="Arial" w:hAnsi="Arial"/>
          <w:sz w:val="24"/>
        </w:rPr>
        <w:t>Gaming GPU 市佔低，品牌力弱於 NVIDIA</w:t>
      </w:r>
    </w:p>
    <w:p>
      <w:pPr>
        <w:pStyle w:val="ListBullet"/>
      </w:pPr>
      <w:r>
        <w:rPr>
          <w:rFonts w:ascii="Arial" w:hAnsi="Arial"/>
          <w:sz w:val="24"/>
        </w:rPr>
        <w:t>毛利率偏低，拖累整體表現</w:t>
      </w:r>
    </w:p>
    <w:p>
      <w:pPr>
        <w:pStyle w:val="Heading3"/>
      </w:pPr>
      <w:r>
        <w:t>3. 嵌入式（Embedded）</w:t>
      </w:r>
    </w:p>
    <w:p>
      <w:pPr/>
      <w:r>
        <w:rPr>
          <w:rFonts w:ascii="Arial" w:hAnsi="Arial"/>
          <w:b/>
          <w:sz w:val="24"/>
        </w:rPr>
        <w:t>營收：$34.54億（-2.9% YoY）</w:t>
      </w:r>
    </w:p>
    <w:p>
      <w:pPr/>
      <w:r>
        <w:rPr>
          <w:rFonts w:ascii="Arial" w:hAnsi="Arial"/>
          <w:b/>
          <w:sz w:val="24"/>
        </w:rPr>
        <w:t>衰退原因：</w:t>
      </w:r>
    </w:p>
    <w:p>
      <w:pPr>
        <w:pStyle w:val="ListBullet"/>
      </w:pPr>
      <w:r>
        <w:rPr>
          <w:rFonts w:ascii="Arial" w:hAnsi="Arial"/>
          <w:sz w:val="24"/>
        </w:rPr>
        <w:t>工業、汽車、通訊領域需求疲軟</w:t>
      </w:r>
    </w:p>
    <w:p>
      <w:pPr>
        <w:pStyle w:val="ListBullet"/>
      </w:pPr>
      <w:r>
        <w:rPr>
          <w:rFonts w:ascii="Arial" w:hAnsi="Arial"/>
          <w:sz w:val="24"/>
        </w:rPr>
        <w:t>Xilinx FPGA 整合尚未完全發揮綜效</w:t>
      </w:r>
    </w:p>
    <w:p>
      <w:pPr/>
      <w:r>
        <w:rPr>
          <w:rFonts w:ascii="Arial" w:hAnsi="Arial"/>
          <w:b/>
          <w:sz w:val="24"/>
        </w:rPr>
        <w:t>毛利率：</w:t>
      </w:r>
      <w:r>
        <w:rPr>
          <w:rFonts w:ascii="Arial" w:hAnsi="Arial"/>
          <w:sz w:val="24"/>
        </w:rPr>
        <w:t xml:space="preserve"> 約 </w:t>
      </w:r>
      <w:r>
        <w:rPr>
          <w:rFonts w:ascii="Arial" w:hAnsi="Arial"/>
          <w:b/>
          <w:sz w:val="24"/>
        </w:rPr>
        <w:t>55-60%</w:t>
      </w:r>
      <w:r>
        <w:rPr>
          <w:rFonts w:ascii="Arial" w:hAnsi="Arial"/>
          <w:sz w:val="24"/>
        </w:rPr>
        <w:t>（高毛利業務，但成長停滯）</w:t>
      </w:r>
    </w:p>
    <w:p>
      <w:r>
        <w:t>__________________________________________________</w:t>
      </w:r>
    </w:p>
    <w:p>
      <w:pPr>
        <w:pStyle w:val="Heading2"/>
      </w:pPr>
      <w:r>
        <w:t>💰 資本支出與研發投入</w:t>
      </w:r>
    </w:p>
    <w:p>
      <w:pPr>
        <w:pStyle w:val="Heading3"/>
      </w:pPr>
      <w:r>
        <w:t>研發支出（R&amp;D）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年度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R&amp;D 支出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佔營收比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2025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$80.91億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**23.4%**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2024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$64.56億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25.0%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2023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$58.72億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25.9%</w:t>
            </w:r>
          </w:p>
        </w:tc>
      </w:tr>
    </w:tbl>
    <w:p>
      <w:pPr/>
      <w:r>
        <w:rPr>
          <w:rFonts w:ascii="Arial" w:hAnsi="Arial"/>
          <w:b/>
          <w:sz w:val="24"/>
        </w:rPr>
        <w:t>分析：</w:t>
      </w:r>
    </w:p>
    <w:p>
      <w:pPr>
        <w:pStyle w:val="ListBullet"/>
      </w:pPr>
      <w:r>
        <w:rPr>
          <w:rFonts w:ascii="Arial" w:hAnsi="Arial"/>
          <w:sz w:val="24"/>
        </w:rPr>
        <w:t>R&amp;D 佔營收比下降至 23.4%，顯示營收成長速度超過研發投入</w:t>
      </w:r>
    </w:p>
    <w:p>
      <w:pPr>
        <w:pStyle w:val="ListBullet"/>
      </w:pPr>
      <w:r>
        <w:rPr>
          <w:rFonts w:ascii="Arial" w:hAnsi="Arial"/>
          <w:sz w:val="24"/>
        </w:rPr>
        <w:t xml:space="preserve">研發聚焦於 </w:t>
      </w:r>
      <w:r>
        <w:rPr>
          <w:rFonts w:ascii="Arial" w:hAnsi="Arial"/>
          <w:b/>
          <w:sz w:val="24"/>
        </w:rPr>
        <w:t>Zen 5/6 架構</w:t>
      </w:r>
      <w:r>
        <w:rPr>
          <w:rFonts w:ascii="Arial" w:hAnsi="Arial"/>
          <w:sz w:val="24"/>
        </w:rPr>
        <w:t>、</w:t>
      </w:r>
      <w:r>
        <w:rPr>
          <w:rFonts w:ascii="Arial" w:hAnsi="Arial"/>
          <w:b/>
          <w:sz w:val="24"/>
        </w:rPr>
        <w:t>RDNA 4/5 GPU</w:t>
      </w:r>
      <w:r>
        <w:rPr>
          <w:rFonts w:ascii="Arial" w:hAnsi="Arial"/>
          <w:sz w:val="24"/>
        </w:rPr>
        <w:t>、</w:t>
      </w:r>
      <w:r>
        <w:rPr>
          <w:rFonts w:ascii="Arial" w:hAnsi="Arial"/>
          <w:b/>
          <w:sz w:val="24"/>
        </w:rPr>
        <w:t>MI400 AI GPU</w:t>
      </w:r>
    </w:p>
    <w:p>
      <w:pPr>
        <w:pStyle w:val="ListBullet"/>
      </w:pPr>
      <w:r>
        <w:rPr>
          <w:rFonts w:ascii="Arial" w:hAnsi="Arial"/>
          <w:sz w:val="24"/>
        </w:rPr>
        <w:t>與 NVIDIA 的 R&amp;D 佔比（約 18%）相比仍高，反映追趕者地位</w:t>
      </w:r>
    </w:p>
    <w:p>
      <w:pPr>
        <w:pStyle w:val="Heading3"/>
      </w:pPr>
      <w:r>
        <w:t>資本支出（CapEx）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年度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CapEx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佔營收比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2025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$9.74億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2.8%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2024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$6.36億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2.5%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2023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$5.46億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2.4%</w:t>
            </w:r>
          </w:p>
        </w:tc>
      </w:tr>
    </w:tbl>
    <w:p>
      <w:pPr/>
      <w:r>
        <w:rPr>
          <w:rFonts w:ascii="Arial" w:hAnsi="Arial"/>
          <w:b/>
          <w:sz w:val="24"/>
        </w:rPr>
        <w:t>分析：</w:t>
      </w:r>
    </w:p>
    <w:p>
      <w:pPr>
        <w:pStyle w:val="ListBullet"/>
      </w:pPr>
      <w:r>
        <w:rPr>
          <w:rFonts w:ascii="Arial" w:hAnsi="Arial"/>
          <w:sz w:val="24"/>
        </w:rPr>
        <w:t xml:space="preserve">AMD 採 </w:t>
      </w:r>
      <w:r>
        <w:rPr>
          <w:rFonts w:ascii="Arial" w:hAnsi="Arial"/>
          <w:b/>
          <w:sz w:val="24"/>
        </w:rPr>
        <w:t>Fabless 模式</w:t>
      </w:r>
      <w:r>
        <w:rPr>
          <w:rFonts w:ascii="Arial" w:hAnsi="Arial"/>
          <w:sz w:val="24"/>
        </w:rPr>
        <w:t>（無晶圓廠），CapEx 極低</w:t>
      </w:r>
    </w:p>
    <w:p>
      <w:pPr>
        <w:pStyle w:val="ListBullet"/>
      </w:pPr>
      <w:r>
        <w:rPr>
          <w:rFonts w:ascii="Arial" w:hAnsi="Arial"/>
          <w:sz w:val="24"/>
        </w:rPr>
        <w:t>主要支出：測試設備、實驗室、IT 基礎設施</w:t>
      </w:r>
    </w:p>
    <w:p>
      <w:pPr>
        <w:pStyle w:val="ListBullet"/>
      </w:pPr>
      <w:r>
        <w:rPr>
          <w:rFonts w:ascii="Arial" w:hAnsi="Arial"/>
          <w:sz w:val="24"/>
        </w:rPr>
        <w:t>對比 Intel（CapEx 佔營收 30%+），AMD 資本效率極高</w:t>
      </w:r>
    </w:p>
    <w:p>
      <w:pPr>
        <w:pStyle w:val="Heading3"/>
      </w:pPr>
      <w:r>
        <w:t>現金流表現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項目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2025 FY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2024 FY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**營運現金流**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$77.09億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$30.41億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**自由現金流**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$67.35億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$24.05億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**FCF 轉換率**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87.4%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79.1%</w:t>
            </w:r>
          </w:p>
        </w:tc>
      </w:tr>
    </w:tbl>
    <w:p>
      <w:pPr/>
      <w:r>
        <w:rPr>
          <w:rFonts w:ascii="Arial" w:hAnsi="Arial"/>
          <w:b/>
          <w:sz w:val="24"/>
        </w:rPr>
        <w:t>亮點：</w:t>
      </w:r>
    </w:p>
    <w:p>
      <w:pPr>
        <w:pStyle w:val="ListBullet"/>
      </w:pPr>
      <w:r>
        <w:rPr>
          <w:rFonts w:ascii="Arial" w:hAnsi="Arial"/>
          <w:sz w:val="24"/>
        </w:rPr>
        <w:t xml:space="preserve">FCF 年增 </w:t>
      </w:r>
      <w:r>
        <w:rPr>
          <w:rFonts w:ascii="Arial" w:hAnsi="Arial"/>
          <w:b/>
          <w:sz w:val="24"/>
        </w:rPr>
        <w:t>180%</w:t>
      </w:r>
      <w:r>
        <w:rPr>
          <w:rFonts w:ascii="Arial" w:hAnsi="Arial"/>
          <w:sz w:val="24"/>
        </w:rPr>
        <w:t>，顯示營運效率大幅提升</w:t>
      </w:r>
    </w:p>
    <w:p>
      <w:pPr>
        <w:pStyle w:val="ListBullet"/>
      </w:pPr>
      <w:r>
        <w:rPr>
          <w:rFonts w:ascii="Arial" w:hAnsi="Arial"/>
          <w:sz w:val="24"/>
        </w:rPr>
        <w:t>現金及約當現金 + 短期投資：</w:t>
      </w:r>
      <w:r>
        <w:rPr>
          <w:rFonts w:ascii="Arial" w:hAnsi="Arial"/>
          <w:b/>
          <w:sz w:val="24"/>
        </w:rPr>
        <w:t>$105.52億</w:t>
      </w:r>
    </w:p>
    <w:p>
      <w:pPr>
        <w:pStyle w:val="ListBullet"/>
      </w:pPr>
      <w:r>
        <w:rPr>
          <w:rFonts w:ascii="Arial" w:hAnsi="Arial"/>
          <w:sz w:val="24"/>
        </w:rPr>
        <w:t>淨負債：</w:t>
      </w:r>
      <w:r>
        <w:rPr>
          <w:rFonts w:ascii="Arial" w:hAnsi="Arial"/>
          <w:b/>
          <w:sz w:val="24"/>
        </w:rPr>
        <w:t>-$10.67億</w:t>
      </w:r>
      <w:r>
        <w:rPr>
          <w:rFonts w:ascii="Arial" w:hAnsi="Arial"/>
          <w:sz w:val="24"/>
        </w:rPr>
        <w:t>（淨現金狀態）</w:t>
      </w:r>
    </w:p>
    <w:p>
      <w:r>
        <w:t>__________________________________________________</w:t>
      </w:r>
    </w:p>
    <w:p>
      <w:pPr>
        <w:pStyle w:val="Heading2"/>
      </w:pPr>
      <w:r>
        <w:t>🎯 2026 年重大動態與催化劑</w:t>
      </w:r>
    </w:p>
    <w:p>
      <w:pPr>
        <w:pStyle w:val="Heading3"/>
      </w:pPr>
      <w:r>
        <w:t>產品發布時間軸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時間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產品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市場定位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**Q1 2026**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Ryzen 9000X3D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遊戲處理器（Zen 5 + 3D V-Cache）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**Q2 2026**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EPYC Turin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資料中心 CPU（Zen 5，192核）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**Q2 2026**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Radeon RX 8000（RDNA 4）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桌上型 GPU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**Q3 2026**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MI350 AI GPU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AI 訓練/推論加速器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**Q4 2026**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MI400 AI GPU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對標 NVIDIA Blackwell Ultra</w:t>
            </w:r>
          </w:p>
        </w:tc>
      </w:tr>
    </w:tbl>
    <w:p>
      <w:pPr>
        <w:pStyle w:val="Heading3"/>
      </w:pPr>
      <w:r>
        <w:t>關鍵催化劑</w:t>
      </w:r>
    </w:p>
    <w:p>
      <w:pPr/>
      <w:r>
        <w:rPr>
          <w:rFonts w:ascii="Arial" w:hAnsi="Arial"/>
          <w:b/>
          <w:sz w:val="24"/>
        </w:rPr>
        <w:t>1. MI300X/MI350/MI400 放量</w:t>
      </w:r>
    </w:p>
    <w:p>
      <w:pPr>
        <w:pStyle w:val="ListBullet"/>
      </w:pPr>
      <w:r>
        <w:rPr>
          <w:rFonts w:ascii="Arial" w:hAnsi="Arial"/>
          <w:b/>
          <w:sz w:val="24"/>
        </w:rPr>
        <w:t>MI300X</w:t>
      </w:r>
      <w:r>
        <w:rPr>
          <w:rFonts w:ascii="Arial" w:hAnsi="Arial"/>
          <w:sz w:val="24"/>
        </w:rPr>
        <w:t>（2025 已量產）：微軟、Meta、Oracle 大規模採購</w:t>
      </w:r>
    </w:p>
    <w:p>
      <w:pPr>
        <w:pStyle w:val="ListBullet"/>
      </w:pPr>
      <w:r>
        <w:rPr>
          <w:rFonts w:ascii="Arial" w:hAnsi="Arial"/>
          <w:b/>
          <w:sz w:val="24"/>
        </w:rPr>
        <w:t>MI350</w:t>
      </w:r>
      <w:r>
        <w:rPr>
          <w:rFonts w:ascii="Arial" w:hAnsi="Arial"/>
          <w:sz w:val="24"/>
        </w:rPr>
        <w:t>（2026 Q3）：台積電 N3E 製程，HBM3E 記憶體，性能提升 40%</w:t>
      </w:r>
    </w:p>
    <w:p>
      <w:pPr>
        <w:pStyle w:val="ListBullet"/>
      </w:pPr>
      <w:r>
        <w:rPr>
          <w:rFonts w:ascii="Arial" w:hAnsi="Arial"/>
          <w:b/>
          <w:sz w:val="24"/>
        </w:rPr>
        <w:t>MI400</w:t>
      </w:r>
      <w:r>
        <w:rPr>
          <w:rFonts w:ascii="Arial" w:hAnsi="Arial"/>
          <w:sz w:val="24"/>
        </w:rPr>
        <w:t xml:space="preserve">（2026 Q4）：挑戰 NVIDIA GB200，目標市佔率 </w:t>
      </w:r>
      <w:r>
        <w:rPr>
          <w:rFonts w:ascii="Arial" w:hAnsi="Arial"/>
          <w:b/>
          <w:sz w:val="24"/>
        </w:rPr>
        <w:t>15-20%</w:t>
      </w:r>
    </w:p>
    <w:p>
      <w:pPr/>
      <w:r>
        <w:rPr>
          <w:rFonts w:ascii="Arial" w:hAnsi="Arial"/>
          <w:b/>
          <w:sz w:val="24"/>
        </w:rPr>
        <w:t>2. EPYC 市佔率擴張</w:t>
      </w:r>
    </w:p>
    <w:p>
      <w:pPr>
        <w:pStyle w:val="ListBullet"/>
      </w:pPr>
      <w:r>
        <w:rPr>
          <w:rFonts w:ascii="Arial" w:hAnsi="Arial"/>
          <w:b/>
          <w:sz w:val="24"/>
        </w:rPr>
        <w:t>目標</w:t>
      </w:r>
      <w:r>
        <w:rPr>
          <w:rFonts w:ascii="Arial" w:hAnsi="Arial"/>
          <w:sz w:val="24"/>
        </w:rPr>
        <w:t xml:space="preserve">：2026年底市佔率達 </w:t>
      </w:r>
      <w:r>
        <w:rPr>
          <w:rFonts w:ascii="Arial" w:hAnsi="Arial"/>
          <w:b/>
          <w:sz w:val="24"/>
        </w:rPr>
        <w:t>35%</w:t>
      </w:r>
      <w:r>
        <w:rPr>
          <w:rFonts w:ascii="Arial" w:hAnsi="Arial"/>
          <w:sz w:val="24"/>
        </w:rPr>
        <w:t>（當前 25-30%）</w:t>
      </w:r>
    </w:p>
    <w:p>
      <w:pPr>
        <w:pStyle w:val="ListBullet"/>
      </w:pPr>
      <w:r>
        <w:rPr>
          <w:rFonts w:ascii="Arial" w:hAnsi="Arial"/>
          <w:b/>
          <w:sz w:val="24"/>
        </w:rPr>
        <w:t>優勢</w:t>
      </w:r>
      <w:r>
        <w:rPr>
          <w:rFonts w:ascii="Arial" w:hAnsi="Arial"/>
          <w:sz w:val="24"/>
        </w:rPr>
        <w:t>：更多核心、更低功耗、更高記憶體頻寬</w:t>
      </w:r>
    </w:p>
    <w:p>
      <w:pPr>
        <w:pStyle w:val="ListBullet"/>
      </w:pPr>
      <w:r>
        <w:rPr>
          <w:rFonts w:ascii="Arial" w:hAnsi="Arial"/>
          <w:b/>
          <w:sz w:val="24"/>
        </w:rPr>
        <w:t>客戶</w:t>
      </w:r>
      <w:r>
        <w:rPr>
          <w:rFonts w:ascii="Arial" w:hAnsi="Arial"/>
          <w:sz w:val="24"/>
        </w:rPr>
        <w:t>：AWS、Google Cloud、Azure 持續增加採用</w:t>
      </w:r>
    </w:p>
    <w:p>
      <w:pPr/>
      <w:r>
        <w:rPr>
          <w:rFonts w:ascii="Arial" w:hAnsi="Arial"/>
          <w:b/>
          <w:sz w:val="24"/>
        </w:rPr>
        <w:t>3. AI PC 滲透率提升</w:t>
      </w:r>
    </w:p>
    <w:p>
      <w:pPr>
        <w:pStyle w:val="ListBullet"/>
      </w:pPr>
      <w:r>
        <w:rPr>
          <w:rFonts w:ascii="Arial" w:hAnsi="Arial"/>
          <w:b/>
          <w:sz w:val="24"/>
        </w:rPr>
        <w:t>Ryzen AI 300 系列</w:t>
      </w:r>
      <w:r>
        <w:rPr>
          <w:rFonts w:ascii="Arial" w:hAnsi="Arial"/>
          <w:sz w:val="24"/>
        </w:rPr>
        <w:t>：搭載 XDNA 2 NPU，支援本地 AI 應用</w:t>
      </w:r>
    </w:p>
    <w:p>
      <w:pPr>
        <w:pStyle w:val="ListBullet"/>
      </w:pPr>
      <w:r>
        <w:rPr>
          <w:rFonts w:ascii="Arial" w:hAnsi="Arial"/>
          <w:b/>
          <w:sz w:val="24"/>
        </w:rPr>
        <w:t>市場規模</w:t>
      </w:r>
      <w:r>
        <w:rPr>
          <w:rFonts w:ascii="Arial" w:hAnsi="Arial"/>
          <w:sz w:val="24"/>
        </w:rPr>
        <w:t xml:space="preserve">：2026年 AI PC 出貨量預估 </w:t>
      </w:r>
      <w:r>
        <w:rPr>
          <w:rFonts w:ascii="Arial" w:hAnsi="Arial"/>
          <w:b/>
          <w:sz w:val="24"/>
        </w:rPr>
        <w:t>5,000萬台</w:t>
      </w:r>
      <w:r>
        <w:rPr>
          <w:rFonts w:ascii="Arial" w:hAnsi="Arial"/>
          <w:sz w:val="24"/>
        </w:rPr>
        <w:t xml:space="preserve">，AMD 市佔率目標 </w:t>
      </w:r>
      <w:r>
        <w:rPr>
          <w:rFonts w:ascii="Arial" w:hAnsi="Arial"/>
          <w:b/>
          <w:sz w:val="24"/>
        </w:rPr>
        <w:t>30%</w:t>
      </w:r>
    </w:p>
    <w:p>
      <w:pPr/>
      <w:r>
        <w:rPr>
          <w:rFonts w:ascii="Arial" w:hAnsi="Arial"/>
          <w:b/>
          <w:sz w:val="24"/>
        </w:rPr>
        <w:t>4. Xilinx 協同效應</w:t>
      </w:r>
    </w:p>
    <w:p>
      <w:pPr>
        <w:pStyle w:val="ListBullet"/>
      </w:pPr>
      <w:r>
        <w:rPr>
          <w:rFonts w:ascii="Arial" w:hAnsi="Arial"/>
          <w:b/>
          <w:sz w:val="24"/>
        </w:rPr>
        <w:t>Versal AI Engine</w:t>
      </w:r>
      <w:r>
        <w:rPr>
          <w:rFonts w:ascii="Arial" w:hAnsi="Arial"/>
          <w:sz w:val="24"/>
        </w:rPr>
        <w:t>：數據中心推論、5G基地台、自駕車應用</w:t>
      </w:r>
    </w:p>
    <w:p>
      <w:pPr>
        <w:pStyle w:val="ListBullet"/>
      </w:pPr>
      <w:r>
        <w:rPr>
          <w:rFonts w:ascii="Arial" w:hAnsi="Arial"/>
          <w:sz w:val="24"/>
        </w:rPr>
        <w:t xml:space="preserve">2026 年目標：嵌入式業務恢復成長至 </w:t>
      </w:r>
      <w:r>
        <w:rPr>
          <w:rFonts w:ascii="Arial" w:hAnsi="Arial"/>
          <w:b/>
          <w:sz w:val="24"/>
        </w:rPr>
        <w:t>$40-45億</w:t>
      </w:r>
    </w:p>
    <w:p>
      <w:r>
        <w:t>__________________________________________________</w:t>
      </w:r>
    </w:p>
    <w:p>
      <w:pPr>
        <w:pStyle w:val="Heading2"/>
      </w:pPr>
      <w:r>
        <w:t>🔥 核心問題：毛利率突破點分析</w:t>
      </w:r>
    </w:p>
    <w:p>
      <w:pPr>
        <w:pStyle w:val="Heading3"/>
      </w:pPr>
      <w:r>
        <w:t>當前困境：毛利率天花板</w:t>
      </w:r>
    </w:p>
    <w:p>
      <w:pPr/>
      <w:r>
        <w:rPr>
          <w:rFonts w:ascii="Arial" w:hAnsi="Arial"/>
          <w:b/>
          <w:sz w:val="24"/>
        </w:rPr>
        <w:t>AMD vs NVIDIA 毛利率對比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公司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毛利率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淨利率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主力產品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**AMD**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49.5%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12.5%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混合（CPU/GPU/FPGA）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**NVIDIA**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75%+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55%+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AI GPU（H100/H200/GB200）</w:t>
            </w:r>
          </w:p>
        </w:tc>
      </w:tr>
    </w:tbl>
    <w:p>
      <w:pPr/>
      <w:r>
        <w:rPr>
          <w:rFonts w:ascii="Arial" w:hAnsi="Arial"/>
          <w:b/>
          <w:sz w:val="24"/>
        </w:rPr>
        <w:t>為何 AMD 毛利率遠低於 NVIDIA？</w:t>
      </w:r>
    </w:p>
    <w:p>
      <w:pPr>
        <w:pStyle w:val="ListNumber"/>
      </w:pPr>
      <w:r>
        <w:rPr>
          <w:rFonts w:ascii="Arial" w:hAnsi="Arial"/>
          <w:b/>
          <w:sz w:val="24"/>
        </w:rPr>
        <w:t>產品組合拖累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低毛利業務佔比高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  - Client CPU（毛利率 40-45%）佔營收 30%+</w:t>
      </w:r>
    </w:p>
    <w:p>
      <w:pPr/>
      <w:r>
        <w:rPr>
          <w:rFonts w:ascii="Arial" w:hAnsi="Arial"/>
          <w:sz w:val="24"/>
        </w:rPr>
        <w:t xml:space="preserve">     - Gaming（主機晶片毛利率 30-35%）佔營收 11%</w:t>
      </w:r>
    </w:p>
    <w:p>
      <w:pPr/>
      <w:r>
        <w:rPr>
          <w:rFonts w:ascii="Arial" w:hAnsi="Arial"/>
          <w:sz w:val="24"/>
        </w:rPr>
        <w:t xml:space="preserve">     - 嵌入式（毛利率 55-60%）佔營收 10%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高毛利 AI GPU 佔比低</w:t>
      </w:r>
      <w:r>
        <w:rPr>
          <w:rFonts w:ascii="Arial" w:hAnsi="Arial"/>
          <w:sz w:val="24"/>
        </w:rPr>
        <w:t>：</w:t>
      </w:r>
    </w:p>
    <w:p>
      <w:pPr/>
      <w:r>
        <w:rPr>
          <w:rFonts w:ascii="Arial" w:hAnsi="Arial"/>
          <w:sz w:val="24"/>
        </w:rPr>
        <w:t xml:space="preserve">     - MI300X 佔數據中心營收約 </w:t>
      </w:r>
      <w:r>
        <w:rPr>
          <w:rFonts w:ascii="Arial" w:hAnsi="Arial"/>
          <w:b/>
          <w:sz w:val="24"/>
        </w:rPr>
        <w:t>30-40%</w:t>
      </w:r>
    </w:p>
    <w:p>
      <w:pPr/>
      <w:r>
        <w:rPr>
          <w:rFonts w:ascii="Arial" w:hAnsi="Arial"/>
          <w:sz w:val="24"/>
        </w:rPr>
        <w:t xml:space="preserve">     - 整體佔總營收僅 </w:t>
      </w:r>
      <w:r>
        <w:rPr>
          <w:rFonts w:ascii="Arial" w:hAnsi="Arial"/>
          <w:b/>
          <w:sz w:val="24"/>
        </w:rPr>
        <w:t>15-20%</w:t>
      </w:r>
    </w:p>
    <w:p>
      <w:pPr>
        <w:pStyle w:val="ListNumber"/>
      </w:pPr>
      <w:r>
        <w:rPr>
          <w:rFonts w:ascii="Arial" w:hAnsi="Arial"/>
          <w:b/>
          <w:sz w:val="24"/>
        </w:rPr>
        <w:t>HBM 成本壓力</w:t>
      </w:r>
    </w:p>
    <w:p>
      <w:pPr/>
      <w:r>
        <w:rPr>
          <w:rFonts w:ascii="Arial" w:hAnsi="Arial"/>
          <w:sz w:val="24"/>
        </w:rPr>
        <w:t xml:space="preserve">   - MI300X 使用 </w:t>
      </w:r>
      <w:r>
        <w:rPr>
          <w:rFonts w:ascii="Arial" w:hAnsi="Arial"/>
          <w:b/>
          <w:sz w:val="24"/>
        </w:rPr>
        <w:t>8 顆 HBM3</w:t>
      </w:r>
      <w:r>
        <w:rPr>
          <w:rFonts w:ascii="Arial" w:hAnsi="Arial"/>
          <w:sz w:val="24"/>
        </w:rPr>
        <w:t>，單顆成本 $200-300</w:t>
      </w:r>
    </w:p>
    <w:p>
      <w:pPr/>
      <w:r>
        <w:rPr>
          <w:rFonts w:ascii="Arial" w:hAnsi="Arial"/>
          <w:sz w:val="24"/>
        </w:rPr>
        <w:t xml:space="preserve">   - HBM 佔 AI GPU 總成本 </w:t>
      </w:r>
      <w:r>
        <w:rPr>
          <w:rFonts w:ascii="Arial" w:hAnsi="Arial"/>
          <w:b/>
          <w:sz w:val="24"/>
        </w:rPr>
        <w:t>40-50%</w:t>
      </w:r>
    </w:p>
    <w:p>
      <w:pPr/>
      <w:r>
        <w:rPr>
          <w:rFonts w:ascii="Arial" w:hAnsi="Arial"/>
          <w:sz w:val="24"/>
        </w:rPr>
        <w:t xml:space="preserve">   - NVIDIA 透過規模效應壓低 HBM 採購價，AMD 議價能力較弱</w:t>
      </w:r>
    </w:p>
    <w:p>
      <w:pPr>
        <w:pStyle w:val="ListNumber"/>
      </w:pPr>
      <w:r>
        <w:rPr>
          <w:rFonts w:ascii="Arial" w:hAnsi="Arial"/>
          <w:b/>
          <w:sz w:val="24"/>
        </w:rPr>
        <w:t>台積電晶圓成本</w:t>
      </w:r>
    </w:p>
    <w:p>
      <w:pPr/>
      <w:r>
        <w:rPr>
          <w:rFonts w:ascii="Arial" w:hAnsi="Arial"/>
          <w:sz w:val="24"/>
        </w:rPr>
        <w:t xml:space="preserve">   - N5/N4P 晶圓價格約 $16,000-18,000/片</w:t>
      </w:r>
    </w:p>
    <w:p>
      <w:pPr/>
      <w:r>
        <w:rPr>
          <w:rFonts w:ascii="Arial" w:hAnsi="Arial"/>
          <w:sz w:val="24"/>
        </w:rPr>
        <w:t xml:space="preserve">   - AMD 訂單量遠小於 Apple、NVIDIA，無法享受最優價格</w:t>
      </w:r>
    </w:p>
    <w:p>
      <w:pPr>
        <w:pStyle w:val="ListNumber"/>
      </w:pPr>
      <w:r>
        <w:rPr>
          <w:rFonts w:ascii="Arial" w:hAnsi="Arial"/>
          <w:b/>
          <w:sz w:val="24"/>
        </w:rPr>
        <w:t>競爭定價壓力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EPYC vs Intel Xeon</w:t>
      </w:r>
      <w:r>
        <w:rPr>
          <w:rFonts w:ascii="Arial" w:hAnsi="Arial"/>
          <w:sz w:val="24"/>
        </w:rPr>
        <w:t>：為搶市佔，價格折讓 10-15%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MI300X vs H100</w:t>
      </w:r>
      <w:r>
        <w:rPr>
          <w:rFonts w:ascii="Arial" w:hAnsi="Arial"/>
          <w:sz w:val="24"/>
        </w:rPr>
        <w:t>：性價比定位，售價低 20-30%</w:t>
      </w:r>
    </w:p>
    <w:p>
      <w:pPr>
        <w:pStyle w:val="Heading3"/>
      </w:pPr>
      <w:r>
        <w:t>毛利率擴張路徑</w:t>
      </w:r>
    </w:p>
    <w:p>
      <w:pPr/>
      <w:r>
        <w:rPr>
          <w:rFonts w:ascii="Arial" w:hAnsi="Arial"/>
          <w:b/>
          <w:sz w:val="24"/>
        </w:rPr>
        <w:t>情境 1：樂觀情境（2027年毛利率達 60%+）</w:t>
      </w:r>
    </w:p>
    <w:p>
      <w:pPr/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必要條件：</w:t>
      </w:r>
    </w:p>
    <w:p>
      <w:pPr>
        <w:pStyle w:val="ListNumber"/>
      </w:pPr>
      <w:r>
        <w:rPr>
          <w:rFonts w:ascii="Arial" w:hAnsi="Arial"/>
          <w:b/>
          <w:sz w:val="24"/>
        </w:rPr>
        <w:t>AI GPU 佔比提升至 40%+</w:t>
      </w:r>
    </w:p>
    <w:p>
      <w:pPr/>
      <w:r>
        <w:rPr>
          <w:rFonts w:ascii="Arial" w:hAnsi="Arial"/>
          <w:sz w:val="24"/>
        </w:rPr>
        <w:t xml:space="preserve">   - MI300/MI350/MI400 合計營收 </w:t>
      </w:r>
      <w:r>
        <w:rPr>
          <w:rFonts w:ascii="Arial" w:hAnsi="Arial"/>
          <w:b/>
          <w:sz w:val="24"/>
        </w:rPr>
        <w:t>$100億+</w:t>
      </w:r>
    </w:p>
    <w:p>
      <w:pPr/>
      <w:r>
        <w:rPr>
          <w:rFonts w:ascii="Arial" w:hAnsi="Arial"/>
          <w:sz w:val="24"/>
        </w:rPr>
        <w:t xml:space="preserve">   - AI GPU 毛利率達 </w:t>
      </w:r>
      <w:r>
        <w:rPr>
          <w:rFonts w:ascii="Arial" w:hAnsi="Arial"/>
          <w:b/>
          <w:sz w:val="24"/>
        </w:rPr>
        <w:t>65-70%</w:t>
      </w:r>
      <w:r>
        <w:rPr>
          <w:rFonts w:ascii="Arial" w:hAnsi="Arial"/>
          <w:sz w:val="24"/>
        </w:rPr>
        <w:t>（接近 NVIDIA）</w:t>
      </w:r>
    </w:p>
    <w:p>
      <w:pPr>
        <w:pStyle w:val="ListNumber"/>
      </w:pPr>
      <w:r>
        <w:rPr>
          <w:rFonts w:ascii="Arial" w:hAnsi="Arial"/>
          <w:b/>
          <w:sz w:val="24"/>
        </w:rPr>
        <w:t>EPYC 市佔率達 35%+</w:t>
      </w:r>
    </w:p>
    <w:p>
      <w:pPr/>
      <w:r>
        <w:rPr>
          <w:rFonts w:ascii="Arial" w:hAnsi="Arial"/>
          <w:sz w:val="24"/>
        </w:rPr>
        <w:t xml:space="preserve">   - 規模效應降低單位成本</w:t>
      </w:r>
    </w:p>
    <w:p>
      <w:pPr/>
      <w:r>
        <w:rPr>
          <w:rFonts w:ascii="Arial" w:hAnsi="Arial"/>
          <w:sz w:val="24"/>
        </w:rPr>
        <w:t xml:space="preserve">   - 毛利率從 50% → 55%</w:t>
      </w:r>
    </w:p>
    <w:p>
      <w:pPr>
        <w:pStyle w:val="ListNumber"/>
      </w:pPr>
      <w:r>
        <w:rPr>
          <w:rFonts w:ascii="Arial" w:hAnsi="Arial"/>
          <w:b/>
          <w:sz w:val="24"/>
        </w:rPr>
        <w:t>HBM 供應鏈優化</w:t>
      </w:r>
    </w:p>
    <w:p>
      <w:pPr/>
      <w:r>
        <w:rPr>
          <w:rFonts w:ascii="Arial" w:hAnsi="Arial"/>
          <w:sz w:val="24"/>
        </w:rPr>
        <w:t xml:space="preserve">   - SK Hynix、Samsung 產能擴充，價格下降 15-20%</w:t>
      </w:r>
    </w:p>
    <w:p>
      <w:pPr/>
      <w:r>
        <w:rPr>
          <w:rFonts w:ascii="Arial" w:hAnsi="Arial"/>
          <w:sz w:val="24"/>
        </w:rPr>
        <w:t xml:space="preserve">   - 自主設計 HBM 控制器，降低整合成本</w:t>
      </w:r>
    </w:p>
    <w:p>
      <w:pPr>
        <w:pStyle w:val="ListNumber"/>
      </w:pPr>
      <w:r>
        <w:rPr>
          <w:rFonts w:ascii="Arial" w:hAnsi="Arial"/>
          <w:b/>
          <w:sz w:val="24"/>
        </w:rPr>
        <w:t>淘汰低毛利業務</w:t>
      </w:r>
    </w:p>
    <w:p>
      <w:pPr/>
      <w:r>
        <w:rPr>
          <w:rFonts w:ascii="Arial" w:hAnsi="Arial"/>
          <w:sz w:val="24"/>
        </w:rPr>
        <w:t xml:space="preserve">   - 遊戲主機晶片業務逐步收縮</w:t>
      </w:r>
    </w:p>
    <w:p>
      <w:pPr/>
      <w:r>
        <w:rPr>
          <w:rFonts w:ascii="Arial" w:hAnsi="Arial"/>
          <w:sz w:val="24"/>
        </w:rPr>
        <w:t xml:space="preserve">   - 聚焦高毛利數據中心與 AI</w:t>
      </w:r>
    </w:p>
    <w:p>
      <w:pPr/>
      <w:r>
        <w:rPr>
          <w:rFonts w:ascii="Arial" w:hAnsi="Arial"/>
          <w:sz w:val="24"/>
        </w:rPr>
        <w:t xml:space="preserve">📊 </w:t>
      </w:r>
      <w:r>
        <w:rPr>
          <w:rFonts w:ascii="Arial" w:hAnsi="Arial"/>
          <w:b/>
          <w:sz w:val="24"/>
        </w:rPr>
        <w:t>財務影響：</w:t>
      </w:r>
    </w:p>
    <w:p>
      <w:pPr>
        <w:pStyle w:val="ListBullet"/>
      </w:pPr>
      <w:r>
        <w:rPr>
          <w:rFonts w:ascii="Arial" w:hAnsi="Arial"/>
          <w:sz w:val="24"/>
        </w:rPr>
        <w:t xml:space="preserve">毛利率：49.5% → </w:t>
      </w:r>
      <w:r>
        <w:rPr>
          <w:rFonts w:ascii="Arial" w:hAnsi="Arial"/>
          <w:b/>
          <w:sz w:val="24"/>
        </w:rPr>
        <w:t>60%</w:t>
      </w:r>
    </w:p>
    <w:p>
      <w:pPr>
        <w:pStyle w:val="ListBullet"/>
      </w:pPr>
      <w:r>
        <w:rPr>
          <w:rFonts w:ascii="Arial" w:hAnsi="Arial"/>
          <w:sz w:val="24"/>
        </w:rPr>
        <w:t xml:space="preserve">營業利益率：10.7% → </w:t>
      </w:r>
      <w:r>
        <w:rPr>
          <w:rFonts w:ascii="Arial" w:hAnsi="Arial"/>
          <w:b/>
          <w:sz w:val="24"/>
        </w:rPr>
        <w:t>30%</w:t>
      </w:r>
    </w:p>
    <w:p>
      <w:pPr>
        <w:pStyle w:val="ListBullet"/>
      </w:pPr>
      <w:r>
        <w:rPr>
          <w:rFonts w:ascii="Arial" w:hAnsi="Arial"/>
          <w:sz w:val="24"/>
        </w:rPr>
        <w:t xml:space="preserve">淨利率：12.5% → </w:t>
      </w:r>
      <w:r>
        <w:rPr>
          <w:rFonts w:ascii="Arial" w:hAnsi="Arial"/>
          <w:b/>
          <w:sz w:val="24"/>
        </w:rPr>
        <w:t>25%</w:t>
      </w:r>
    </w:p>
    <w:p>
      <w:pPr/>
      <w:r>
        <w:rPr>
          <w:rFonts w:ascii="Arial" w:hAnsi="Arial"/>
          <w:b/>
          <w:sz w:val="24"/>
        </w:rPr>
        <w:t>情境 2：中性情境（2027年毛利率達 55%）</w:t>
      </w:r>
    </w:p>
    <w:p>
      <w:pPr/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必要條件：</w:t>
      </w:r>
    </w:p>
    <w:p>
      <w:pPr>
        <w:pStyle w:val="ListNumber"/>
      </w:pPr>
      <w:r>
        <w:rPr>
          <w:rFonts w:ascii="Arial" w:hAnsi="Arial"/>
          <w:sz w:val="24"/>
        </w:rPr>
        <w:t xml:space="preserve">AI GPU 佔比達 </w:t>
      </w:r>
      <w:r>
        <w:rPr>
          <w:rFonts w:ascii="Arial" w:hAnsi="Arial"/>
          <w:b/>
          <w:sz w:val="24"/>
        </w:rPr>
        <w:t>30%</w:t>
      </w:r>
    </w:p>
    <w:p>
      <w:pPr>
        <w:pStyle w:val="ListNumber"/>
      </w:pPr>
      <w:r>
        <w:rPr>
          <w:rFonts w:ascii="Arial" w:hAnsi="Arial"/>
          <w:sz w:val="24"/>
        </w:rPr>
        <w:t xml:space="preserve">EPYC 市佔率達 </w:t>
      </w:r>
      <w:r>
        <w:rPr>
          <w:rFonts w:ascii="Arial" w:hAnsi="Arial"/>
          <w:b/>
          <w:sz w:val="24"/>
        </w:rPr>
        <w:t>30%</w:t>
      </w:r>
    </w:p>
    <w:p>
      <w:pPr>
        <w:pStyle w:val="ListNumber"/>
      </w:pPr>
      <w:r>
        <w:rPr>
          <w:rFonts w:ascii="Arial" w:hAnsi="Arial"/>
          <w:sz w:val="24"/>
        </w:rPr>
        <w:t xml:space="preserve">HBM 成本下降 </w:t>
      </w:r>
      <w:r>
        <w:rPr>
          <w:rFonts w:ascii="Arial" w:hAnsi="Arial"/>
          <w:b/>
          <w:sz w:val="24"/>
        </w:rPr>
        <w:t>10%</w:t>
      </w:r>
    </w:p>
    <w:p>
      <w:pPr/>
      <w:r>
        <w:rPr>
          <w:rFonts w:ascii="Arial" w:hAnsi="Arial"/>
          <w:sz w:val="24"/>
        </w:rPr>
        <w:t xml:space="preserve">📊 </w:t>
      </w:r>
      <w:r>
        <w:rPr>
          <w:rFonts w:ascii="Arial" w:hAnsi="Arial"/>
          <w:b/>
          <w:sz w:val="24"/>
        </w:rPr>
        <w:t>財務影響：</w:t>
      </w:r>
    </w:p>
    <w:p>
      <w:pPr>
        <w:pStyle w:val="ListBullet"/>
      </w:pPr>
      <w:r>
        <w:rPr>
          <w:rFonts w:ascii="Arial" w:hAnsi="Arial"/>
          <w:sz w:val="24"/>
        </w:rPr>
        <w:t xml:space="preserve">毛利率：49.5% → </w:t>
      </w:r>
      <w:r>
        <w:rPr>
          <w:rFonts w:ascii="Arial" w:hAnsi="Arial"/>
          <w:b/>
          <w:sz w:val="24"/>
        </w:rPr>
        <w:t>55%</w:t>
      </w:r>
    </w:p>
    <w:p>
      <w:pPr>
        <w:pStyle w:val="ListBullet"/>
      </w:pPr>
      <w:r>
        <w:rPr>
          <w:rFonts w:ascii="Arial" w:hAnsi="Arial"/>
          <w:sz w:val="24"/>
        </w:rPr>
        <w:t xml:space="preserve">淨利率：12.5% → </w:t>
      </w:r>
      <w:r>
        <w:rPr>
          <w:rFonts w:ascii="Arial" w:hAnsi="Arial"/>
          <w:b/>
          <w:sz w:val="24"/>
        </w:rPr>
        <w:t>18-20%</w:t>
      </w:r>
    </w:p>
    <w:p>
      <w:pPr/>
      <w:r>
        <w:rPr>
          <w:rFonts w:ascii="Arial" w:hAnsi="Arial"/>
          <w:b/>
          <w:sz w:val="24"/>
        </w:rPr>
        <w:t>情境 3：悲觀情境（毛利率停滯於 50-52%）</w:t>
      </w:r>
    </w:p>
    <w:p>
      <w:pPr/>
      <w:r>
        <w:rPr>
          <w:rFonts w:ascii="Arial" w:hAnsi="Arial"/>
          <w:sz w:val="24"/>
        </w:rPr>
        <w:t xml:space="preserve">❌ </w:t>
      </w:r>
      <w:r>
        <w:rPr>
          <w:rFonts w:ascii="Arial" w:hAnsi="Arial"/>
          <w:b/>
          <w:sz w:val="24"/>
        </w:rPr>
        <w:t>風險因素：</w:t>
      </w:r>
    </w:p>
    <w:p>
      <w:pPr>
        <w:pStyle w:val="ListNumber"/>
      </w:pPr>
      <w:r>
        <w:rPr>
          <w:rFonts w:ascii="Arial" w:hAnsi="Arial"/>
          <w:sz w:val="24"/>
        </w:rPr>
        <w:t>NVIDIA 持續壟斷 AI GPU 市場（市佔 85%+）</w:t>
      </w:r>
    </w:p>
    <w:p>
      <w:pPr>
        <w:pStyle w:val="ListNumber"/>
      </w:pPr>
      <w:r>
        <w:rPr>
          <w:rFonts w:ascii="Arial" w:hAnsi="Arial"/>
          <w:sz w:val="24"/>
        </w:rPr>
        <w:t>Intel 伺服器 CPU 反撲（Granite Rapids 競爭力提升）</w:t>
      </w:r>
    </w:p>
    <w:p>
      <w:pPr>
        <w:pStyle w:val="ListNumber"/>
      </w:pPr>
      <w:r>
        <w:rPr>
          <w:rFonts w:ascii="Arial" w:hAnsi="Arial"/>
          <w:sz w:val="24"/>
        </w:rPr>
        <w:t>HBM 供應短缺，價格上漲</w:t>
      </w:r>
    </w:p>
    <w:p>
      <w:pPr>
        <w:pStyle w:val="ListNumber"/>
      </w:pPr>
      <w:r>
        <w:rPr>
          <w:rFonts w:ascii="Arial" w:hAnsi="Arial"/>
          <w:sz w:val="24"/>
        </w:rPr>
        <w:t>中國市場限制（出口管制影響 MI300）</w:t>
      </w:r>
    </w:p>
    <w:p>
      <w:pPr>
        <w:pStyle w:val="Heading3"/>
      </w:pPr>
      <w:r>
        <w:t>關鍵突破點：AI GPU 毛利率達 70%</w:t>
      </w:r>
    </w:p>
    <w:p>
      <w:pPr/>
      <w:r>
        <w:rPr>
          <w:rFonts w:ascii="Arial" w:hAnsi="Arial"/>
          <w:b/>
          <w:sz w:val="24"/>
        </w:rPr>
        <w:t>達成條件：</w:t>
      </w:r>
    </w:p>
    <w:p>
      <w:pPr>
        <w:pStyle w:val="ListNumber"/>
      </w:pPr>
      <w:r>
        <w:rPr>
          <w:rFonts w:ascii="Arial" w:hAnsi="Arial"/>
          <w:b/>
          <w:sz w:val="24"/>
        </w:rPr>
        <w:t>MI400 性能對標 GB200</w:t>
      </w:r>
    </w:p>
    <w:p>
      <w:pPr/>
      <w:r>
        <w:rPr>
          <w:rFonts w:ascii="Arial" w:hAnsi="Arial"/>
          <w:sz w:val="24"/>
        </w:rPr>
        <w:t xml:space="preserve">   - FP8 算力達 </w:t>
      </w:r>
      <w:r>
        <w:rPr>
          <w:rFonts w:ascii="Arial" w:hAnsi="Arial"/>
          <w:b/>
          <w:sz w:val="24"/>
        </w:rPr>
        <w:t>3,000 TFLOPS</w:t>
      </w:r>
      <w:r>
        <w:rPr>
          <w:rFonts w:ascii="Arial" w:hAnsi="Arial"/>
          <w:sz w:val="24"/>
        </w:rPr>
        <w:t>（vs GB200 的 2,500 TFLOPS）</w:t>
      </w:r>
    </w:p>
    <w:p>
      <w:pPr/>
      <w:r>
        <w:rPr>
          <w:rFonts w:ascii="Arial" w:hAnsi="Arial"/>
          <w:sz w:val="24"/>
        </w:rPr>
        <w:t xml:space="preserve">   - 記憶體頻寬 </w:t>
      </w:r>
      <w:r>
        <w:rPr>
          <w:rFonts w:ascii="Arial" w:hAnsi="Arial"/>
          <w:b/>
          <w:sz w:val="24"/>
        </w:rPr>
        <w:t>8 TB/s</w:t>
      </w:r>
      <w:r>
        <w:rPr>
          <w:rFonts w:ascii="Arial" w:hAnsi="Arial"/>
          <w:sz w:val="24"/>
        </w:rPr>
        <w:t>（HBM3E）</w:t>
      </w:r>
    </w:p>
    <w:p>
      <w:pPr>
        <w:pStyle w:val="ListNumber"/>
      </w:pPr>
      <w:r>
        <w:rPr>
          <w:rFonts w:ascii="Arial" w:hAnsi="Arial"/>
          <w:b/>
          <w:sz w:val="24"/>
        </w:rPr>
        <w:t>市佔率突破 20%</w:t>
      </w:r>
    </w:p>
    <w:p>
      <w:pPr/>
      <w:r>
        <w:rPr>
          <w:rFonts w:ascii="Arial" w:hAnsi="Arial"/>
          <w:sz w:val="24"/>
        </w:rPr>
        <w:t xml:space="preserve">   - 大客戶（Microsoft、Meta）採購佔比達 50%+</w:t>
      </w:r>
    </w:p>
    <w:p>
      <w:pPr/>
      <w:r>
        <w:rPr>
          <w:rFonts w:ascii="Arial" w:hAnsi="Arial"/>
          <w:sz w:val="24"/>
        </w:rPr>
        <w:t xml:space="preserve">   - 開源生態（ROCm）成熟度追上 CUDA</w:t>
      </w:r>
    </w:p>
    <w:p>
      <w:pPr>
        <w:pStyle w:val="ListNumber"/>
      </w:pPr>
      <w:r>
        <w:rPr>
          <w:rFonts w:ascii="Arial" w:hAnsi="Arial"/>
          <w:b/>
          <w:sz w:val="24"/>
        </w:rPr>
        <w:t>HBM 成本控制</w:t>
      </w:r>
    </w:p>
    <w:p>
      <w:pPr/>
      <w:r>
        <w:rPr>
          <w:rFonts w:ascii="Arial" w:hAnsi="Arial"/>
          <w:sz w:val="24"/>
        </w:rPr>
        <w:t xml:space="preserve">   - 與 SK Hynix 簽訂長期合約，鎖定價格</w:t>
      </w:r>
    </w:p>
    <w:p>
      <w:pPr/>
      <w:r>
        <w:rPr>
          <w:rFonts w:ascii="Arial" w:hAnsi="Arial"/>
          <w:sz w:val="24"/>
        </w:rPr>
        <w:t xml:space="preserve">   - 採用 HBM3E（更高密度，降低顆數需求）</w:t>
      </w:r>
    </w:p>
    <w:p>
      <w:pPr/>
      <w:r>
        <w:rPr>
          <w:rFonts w:ascii="Arial" w:hAnsi="Arial"/>
          <w:b/>
          <w:sz w:val="24"/>
        </w:rPr>
        <w:t>時間表預估：</w:t>
      </w:r>
    </w:p>
    <w:p>
      <w:pPr>
        <w:pStyle w:val="ListBullet"/>
      </w:pPr>
      <w:r>
        <w:rPr>
          <w:rFonts w:ascii="Arial" w:hAnsi="Arial"/>
          <w:b/>
          <w:sz w:val="24"/>
        </w:rPr>
        <w:t>2026 Q4</w:t>
      </w:r>
      <w:r>
        <w:rPr>
          <w:rFonts w:ascii="Arial" w:hAnsi="Arial"/>
          <w:sz w:val="24"/>
        </w:rPr>
        <w:t xml:space="preserve">：MI400 推出，毛利率 </w:t>
      </w:r>
      <w:r>
        <w:rPr>
          <w:rFonts w:ascii="Arial" w:hAnsi="Arial"/>
          <w:b/>
          <w:sz w:val="24"/>
        </w:rPr>
        <w:t>62-65%</w:t>
      </w:r>
    </w:p>
    <w:p>
      <w:pPr>
        <w:pStyle w:val="ListBullet"/>
      </w:pPr>
      <w:r>
        <w:rPr>
          <w:rFonts w:ascii="Arial" w:hAnsi="Arial"/>
          <w:b/>
          <w:sz w:val="24"/>
        </w:rPr>
        <w:t>2027</w:t>
      </w:r>
      <w:r>
        <w:rPr>
          <w:rFonts w:ascii="Arial" w:hAnsi="Arial"/>
          <w:sz w:val="24"/>
        </w:rPr>
        <w:t xml:space="preserve">：AI GPU 佔營收 35%，整體毛利率 </w:t>
      </w:r>
      <w:r>
        <w:rPr>
          <w:rFonts w:ascii="Arial" w:hAnsi="Arial"/>
          <w:b/>
          <w:sz w:val="24"/>
        </w:rPr>
        <w:t>57-60%</w:t>
      </w:r>
    </w:p>
    <w:p>
      <w:pPr>
        <w:pStyle w:val="ListBullet"/>
      </w:pPr>
      <w:r>
        <w:rPr>
          <w:rFonts w:ascii="Arial" w:hAnsi="Arial"/>
          <w:b/>
          <w:sz w:val="24"/>
        </w:rPr>
        <w:t>2028</w:t>
      </w:r>
      <w:r>
        <w:rPr>
          <w:rFonts w:ascii="Arial" w:hAnsi="Arial"/>
          <w:sz w:val="24"/>
        </w:rPr>
        <w:t xml:space="preserve">：AI GPU 佔營收 45%，整體毛利率 </w:t>
      </w:r>
      <w:r>
        <w:rPr>
          <w:rFonts w:ascii="Arial" w:hAnsi="Arial"/>
          <w:b/>
          <w:sz w:val="24"/>
        </w:rPr>
        <w:t>62-65%</w:t>
      </w:r>
    </w:p>
    <w:p>
      <w:r>
        <w:t>__________________________________________________</w:t>
      </w:r>
    </w:p>
    <w:p>
      <w:pPr>
        <w:pStyle w:val="Heading2"/>
      </w:pPr>
      <w:r>
        <w:t>📊 分析師預估（2026-2028）</w:t>
      </w:r>
    </w:p>
    <w:p>
      <w:pPr>
        <w:pStyle w:val="Heading3"/>
      </w:pPr>
      <w:r>
        <w:t>營收與盈利預估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年度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營收預估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YoY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EPS 預估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2026E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**$450-470億**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+30-36%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$4.50-5.00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2027E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**$580-620億**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+29-32%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$7.00-8.00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2028E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**$750-800億**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+29-29%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$11-13</w:t>
            </w:r>
          </w:p>
        </w:tc>
      </w:tr>
    </w:tbl>
    <w:p>
      <w:pPr>
        <w:pStyle w:val="Heading3"/>
      </w:pPr>
      <w:r>
        <w:t>目標價區間</w:t>
      </w:r>
    </w:p>
    <w:p>
      <w:pPr/>
      <w:r>
        <w:rPr>
          <w:rFonts w:ascii="Arial" w:hAnsi="Arial"/>
          <w:b/>
          <w:sz w:val="24"/>
        </w:rPr>
        <w:t>華爾街分析師共識（截至 2026年2月）：</w:t>
      </w:r>
    </w:p>
    <w:p>
      <w:pPr>
        <w:pStyle w:val="ListBullet"/>
      </w:pPr>
      <w:r>
        <w:rPr>
          <w:rFonts w:ascii="Arial" w:hAnsi="Arial"/>
          <w:b/>
          <w:sz w:val="24"/>
        </w:rPr>
        <w:t>看多</w:t>
      </w:r>
      <w:r>
        <w:rPr>
          <w:rFonts w:ascii="Arial" w:hAnsi="Arial"/>
          <w:sz w:val="24"/>
        </w:rPr>
        <w:t>：17 位</w:t>
      </w:r>
    </w:p>
    <w:p>
      <w:pPr>
        <w:pStyle w:val="ListBullet"/>
      </w:pPr>
      <w:r>
        <w:rPr>
          <w:rFonts w:ascii="Arial" w:hAnsi="Arial"/>
          <w:b/>
          <w:sz w:val="24"/>
        </w:rPr>
        <w:t>中立</w:t>
      </w:r>
      <w:r>
        <w:rPr>
          <w:rFonts w:ascii="Arial" w:hAnsi="Arial"/>
          <w:sz w:val="24"/>
        </w:rPr>
        <w:t>：4 位</w:t>
      </w:r>
    </w:p>
    <w:p>
      <w:pPr>
        <w:pStyle w:val="ListBullet"/>
      </w:pPr>
      <w:r>
        <w:rPr>
          <w:rFonts w:ascii="Arial" w:hAnsi="Arial"/>
          <w:b/>
          <w:sz w:val="24"/>
        </w:rPr>
        <w:t>看空</w:t>
      </w:r>
      <w:r>
        <w:rPr>
          <w:rFonts w:ascii="Arial" w:hAnsi="Arial"/>
          <w:sz w:val="24"/>
        </w:rPr>
        <w:t>：0 位</w:t>
      </w:r>
    </w:p>
    <w:p>
      <w:pPr/>
      <w:r>
        <w:rPr>
          <w:rFonts w:ascii="Arial" w:hAnsi="Arial"/>
          <w:b/>
          <w:sz w:val="24"/>
        </w:rPr>
        <w:t>目標價區間：</w:t>
      </w:r>
    </w:p>
    <w:p>
      <w:pPr>
        <w:pStyle w:val="ListBullet"/>
      </w:pPr>
      <w:r>
        <w:rPr>
          <w:rFonts w:ascii="Arial" w:hAnsi="Arial"/>
          <w:b/>
          <w:sz w:val="24"/>
        </w:rPr>
        <w:t>平均目標價</w:t>
      </w:r>
      <w:r>
        <w:rPr>
          <w:rFonts w:ascii="Arial" w:hAnsi="Arial"/>
          <w:sz w:val="24"/>
        </w:rPr>
        <w:t>：$280</w:t>
      </w:r>
    </w:p>
    <w:p>
      <w:pPr>
        <w:pStyle w:val="ListBullet"/>
      </w:pPr>
      <w:r>
        <w:rPr>
          <w:rFonts w:ascii="Arial" w:hAnsi="Arial"/>
          <w:b/>
          <w:sz w:val="24"/>
        </w:rPr>
        <w:t>最高目標價</w:t>
      </w:r>
      <w:r>
        <w:rPr>
          <w:rFonts w:ascii="Arial" w:hAnsi="Arial"/>
          <w:sz w:val="24"/>
        </w:rPr>
        <w:t>：$350（Jefferies）</w:t>
      </w:r>
    </w:p>
    <w:p>
      <w:pPr>
        <w:pStyle w:val="ListBullet"/>
      </w:pPr>
      <w:r>
        <w:rPr>
          <w:rFonts w:ascii="Arial" w:hAnsi="Arial"/>
          <w:b/>
          <w:sz w:val="24"/>
        </w:rPr>
        <w:t>最低目標價</w:t>
      </w:r>
      <w:r>
        <w:rPr>
          <w:rFonts w:ascii="Arial" w:hAnsi="Arial"/>
          <w:sz w:val="24"/>
        </w:rPr>
        <w:t>：$220（Bernstein）</w:t>
      </w:r>
    </w:p>
    <w:p>
      <w:pPr/>
      <w:r>
        <w:rPr>
          <w:rFonts w:ascii="Arial" w:hAnsi="Arial"/>
          <w:b/>
          <w:sz w:val="24"/>
        </w:rPr>
        <w:t>上檔空間</w:t>
      </w:r>
      <w:r>
        <w:rPr>
          <w:rFonts w:ascii="Arial" w:hAnsi="Arial"/>
          <w:sz w:val="24"/>
        </w:rPr>
        <w:t>：</w:t>
      </w:r>
      <w:r>
        <w:rPr>
          <w:rFonts w:ascii="Arial" w:hAnsi="Arial"/>
          <w:b/>
          <w:sz w:val="24"/>
        </w:rPr>
        <w:t>+40%</w:t>
      </w:r>
      <w:r>
        <w:rPr>
          <w:rFonts w:ascii="Arial" w:hAnsi="Arial"/>
          <w:sz w:val="24"/>
        </w:rPr>
        <w:t>（基於 $200 當前價）</w:t>
      </w:r>
    </w:p>
    <w:p>
      <w:r>
        <w:t>__________________________________________________</w:t>
      </w:r>
    </w:p>
    <w:p>
      <w:pPr>
        <w:pStyle w:val="Heading2"/>
      </w:pPr>
      <w:r>
        <w:t>💎 估值分析</w:t>
      </w:r>
    </w:p>
    <w:p>
      <w:pPr>
        <w:pStyle w:val="Heading3"/>
      </w:pPr>
      <w:r>
        <w:t>當前估值水準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指標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AMD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NVIDIA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Intel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**P/E (TTM)**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80.5x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45.0x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18.0x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**Forward P/E (2026E)**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40.0x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32.0x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15.0x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**P/S (TTM)**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10.1x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25.0x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2.5x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**EV/EBITDA**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47.8x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38.0x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8.0x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**PEG Ratio**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0.49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0.75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1.2</w:t>
            </w:r>
          </w:p>
        </w:tc>
      </w:tr>
    </w:tbl>
    <w:p>
      <w:pPr/>
      <w:r>
        <w:rPr>
          <w:rFonts w:ascii="Arial" w:hAnsi="Arial"/>
          <w:b/>
          <w:sz w:val="24"/>
        </w:rPr>
        <w:t>評估：</w:t>
      </w:r>
    </w:p>
    <w:p>
      <w:pPr>
        <w:pStyle w:val="ListBullet"/>
      </w:pPr>
      <w:r>
        <w:rPr>
          <w:rFonts w:ascii="Arial" w:hAnsi="Arial"/>
          <w:b/>
          <w:sz w:val="24"/>
        </w:rPr>
        <w:t>P/E 偏高</w:t>
      </w:r>
      <w:r>
        <w:rPr>
          <w:rFonts w:ascii="Arial" w:hAnsi="Arial"/>
          <w:sz w:val="24"/>
        </w:rPr>
        <w:t>：80.5x 反映市場對 AI 成長預期，但高於 NVIDIA（45x）</w:t>
      </w:r>
    </w:p>
    <w:p>
      <w:pPr>
        <w:pStyle w:val="ListBullet"/>
      </w:pPr>
      <w:r>
        <w:rPr>
          <w:rFonts w:ascii="Arial" w:hAnsi="Arial"/>
          <w:b/>
          <w:sz w:val="24"/>
        </w:rPr>
        <w:t>PEG &lt; 1</w:t>
      </w:r>
      <w:r>
        <w:rPr>
          <w:rFonts w:ascii="Arial" w:hAnsi="Arial"/>
          <w:sz w:val="24"/>
        </w:rPr>
        <w:t>：相對便宜，成長性支撐估值</w:t>
      </w:r>
    </w:p>
    <w:p>
      <w:pPr>
        <w:pStyle w:val="ListBullet"/>
      </w:pPr>
      <w:r>
        <w:rPr>
          <w:rFonts w:ascii="Arial" w:hAnsi="Arial"/>
          <w:b/>
          <w:sz w:val="24"/>
        </w:rPr>
        <w:t>P/S 合理</w:t>
      </w:r>
      <w:r>
        <w:rPr>
          <w:rFonts w:ascii="Arial" w:hAnsi="Arial"/>
          <w:sz w:val="24"/>
        </w:rPr>
        <w:t>：10.1x 低於 NVIDIA（25x），反映毛利率差距</w:t>
      </w:r>
    </w:p>
    <w:p>
      <w:pPr>
        <w:pStyle w:val="Heading3"/>
      </w:pPr>
      <w:r>
        <w:t>DCF 估值（折現現金流）</w:t>
      </w:r>
    </w:p>
    <w:p>
      <w:pPr/>
      <w:r>
        <w:rPr>
          <w:rFonts w:ascii="Arial" w:hAnsi="Arial"/>
          <w:b/>
          <w:sz w:val="24"/>
        </w:rPr>
        <w:t>假設：</w:t>
      </w:r>
    </w:p>
    <w:p>
      <w:pPr>
        <w:pStyle w:val="ListBullet"/>
      </w:pPr>
      <w:r>
        <w:rPr>
          <w:rFonts w:ascii="Arial" w:hAnsi="Arial"/>
          <w:sz w:val="24"/>
        </w:rPr>
        <w:t>營收 CAGR（2026-2030）：</w:t>
      </w:r>
      <w:r>
        <w:rPr>
          <w:rFonts w:ascii="Arial" w:hAnsi="Arial"/>
          <w:b/>
          <w:sz w:val="24"/>
        </w:rPr>
        <w:t>28%</w:t>
      </w:r>
    </w:p>
    <w:p>
      <w:pPr>
        <w:pStyle w:val="ListBullet"/>
      </w:pPr>
      <w:r>
        <w:rPr>
          <w:rFonts w:ascii="Arial" w:hAnsi="Arial"/>
          <w:sz w:val="24"/>
        </w:rPr>
        <w:t>目標淨利率（2030）：</w:t>
      </w:r>
      <w:r>
        <w:rPr>
          <w:rFonts w:ascii="Arial" w:hAnsi="Arial"/>
          <w:b/>
          <w:sz w:val="24"/>
        </w:rPr>
        <w:t>22%</w:t>
      </w:r>
    </w:p>
    <w:p>
      <w:pPr>
        <w:pStyle w:val="ListBullet"/>
      </w:pPr>
      <w:r>
        <w:rPr>
          <w:rFonts w:ascii="Arial" w:hAnsi="Arial"/>
          <w:sz w:val="24"/>
        </w:rPr>
        <w:t>WACC：</w:t>
      </w:r>
      <w:r>
        <w:rPr>
          <w:rFonts w:ascii="Arial" w:hAnsi="Arial"/>
          <w:b/>
          <w:sz w:val="24"/>
        </w:rPr>
        <w:t>10%</w:t>
      </w:r>
    </w:p>
    <w:p>
      <w:pPr>
        <w:pStyle w:val="ListBullet"/>
      </w:pPr>
      <w:r>
        <w:rPr>
          <w:rFonts w:ascii="Arial" w:hAnsi="Arial"/>
          <w:sz w:val="24"/>
        </w:rPr>
        <w:t>終值成長率：</w:t>
      </w:r>
      <w:r>
        <w:rPr>
          <w:rFonts w:ascii="Arial" w:hAnsi="Arial"/>
          <w:b/>
          <w:sz w:val="24"/>
        </w:rPr>
        <w:t>3%</w:t>
      </w:r>
    </w:p>
    <w:p>
      <w:pPr/>
      <w:r>
        <w:rPr>
          <w:rFonts w:ascii="Arial" w:hAnsi="Arial"/>
          <w:b/>
          <w:sz w:val="24"/>
        </w:rPr>
        <w:t>內在價值：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$240-260</w:t>
      </w:r>
      <w:r>
        <w:rPr>
          <w:rFonts w:ascii="Arial" w:hAnsi="Arial"/>
          <w:sz w:val="24"/>
        </w:rPr>
        <w:t>（+20-30% 上檔空間）</w:t>
      </w:r>
    </w:p>
    <w:p>
      <w:r>
        <w:t>__________________________________________________</w:t>
      </w:r>
    </w:p>
    <w:p>
      <w:pPr>
        <w:pStyle w:val="Heading2"/>
      </w:pPr>
      <w:r>
        <w:t>⚠️ 投資風險</w:t>
      </w:r>
    </w:p>
    <w:p>
      <w:pPr>
        <w:pStyle w:val="Heading3"/>
      </w:pPr>
      <w:r>
        <w:t>營運風險</w:t>
      </w:r>
    </w:p>
    <w:p>
      <w:pPr>
        <w:pStyle w:val="ListNumber"/>
      </w:pPr>
      <w:r>
        <w:rPr>
          <w:rFonts w:ascii="Arial" w:hAnsi="Arial"/>
          <w:b/>
          <w:sz w:val="24"/>
        </w:rPr>
        <w:t>AI GPU 競爭加劇</w:t>
      </w:r>
    </w:p>
    <w:p>
      <w:pPr/>
      <w:r>
        <w:rPr>
          <w:rFonts w:ascii="Arial" w:hAnsi="Arial"/>
          <w:sz w:val="24"/>
        </w:rPr>
        <w:t xml:space="preserve">   - NVIDIA 技術領先，CUDA 生態壁壘高</w:t>
      </w:r>
    </w:p>
    <w:p>
      <w:pPr/>
      <w:r>
        <w:rPr>
          <w:rFonts w:ascii="Arial" w:hAnsi="Arial"/>
          <w:sz w:val="24"/>
        </w:rPr>
        <w:t xml:space="preserve">   - Intel Gaudi 3、Google TPU 競爭</w:t>
      </w:r>
    </w:p>
    <w:p>
      <w:pPr>
        <w:pStyle w:val="ListNumber"/>
      </w:pPr>
      <w:r>
        <w:rPr>
          <w:rFonts w:ascii="Arial" w:hAnsi="Arial"/>
          <w:b/>
          <w:sz w:val="24"/>
        </w:rPr>
        <w:t>毛利率擴張不如預期</w:t>
      </w:r>
    </w:p>
    <w:p>
      <w:pPr/>
      <w:r>
        <w:rPr>
          <w:rFonts w:ascii="Arial" w:hAnsi="Arial"/>
          <w:sz w:val="24"/>
        </w:rPr>
        <w:t xml:space="preserve">   - HBM 供應短缺，成本上升</w:t>
      </w:r>
    </w:p>
    <w:p>
      <w:pPr/>
      <w:r>
        <w:rPr>
          <w:rFonts w:ascii="Arial" w:hAnsi="Arial"/>
          <w:sz w:val="24"/>
        </w:rPr>
        <w:t xml:space="preserve">   - 定價競爭激烈</w:t>
      </w:r>
    </w:p>
    <w:p>
      <w:pPr>
        <w:pStyle w:val="ListNumber"/>
      </w:pPr>
      <w:r>
        <w:rPr>
          <w:rFonts w:ascii="Arial" w:hAnsi="Arial"/>
          <w:b/>
          <w:sz w:val="24"/>
        </w:rPr>
        <w:t>中國市場不確定性</w:t>
      </w:r>
    </w:p>
    <w:p>
      <w:pPr/>
      <w:r>
        <w:rPr>
          <w:rFonts w:ascii="Arial" w:hAnsi="Arial"/>
          <w:sz w:val="24"/>
        </w:rPr>
        <w:t xml:space="preserve">   - 出口管制升級，MI300 無法銷往中國</w:t>
      </w:r>
    </w:p>
    <w:p>
      <w:pPr/>
      <w:r>
        <w:rPr>
          <w:rFonts w:ascii="Arial" w:hAnsi="Arial"/>
          <w:sz w:val="24"/>
        </w:rPr>
        <w:t xml:space="preserve">   - 營收佔比 22%，影響重大</w:t>
      </w:r>
    </w:p>
    <w:p>
      <w:pPr>
        <w:pStyle w:val="Heading3"/>
      </w:pPr>
      <w:r>
        <w:t>產業風險</w:t>
      </w:r>
    </w:p>
    <w:p>
      <w:pPr>
        <w:pStyle w:val="ListNumber"/>
      </w:pPr>
      <w:r>
        <w:rPr>
          <w:rFonts w:ascii="Arial" w:hAnsi="Arial"/>
          <w:b/>
          <w:sz w:val="24"/>
        </w:rPr>
        <w:t>AI 需求週期性</w:t>
      </w:r>
    </w:p>
    <w:p>
      <w:pPr/>
      <w:r>
        <w:rPr>
          <w:rFonts w:ascii="Arial" w:hAnsi="Arial"/>
          <w:sz w:val="24"/>
        </w:rPr>
        <w:t xml:space="preserve">   - 2027年後雲端 CapEx 放緩</w:t>
      </w:r>
    </w:p>
    <w:p>
      <w:pPr/>
      <w:r>
        <w:rPr>
          <w:rFonts w:ascii="Arial" w:hAnsi="Arial"/>
          <w:sz w:val="24"/>
        </w:rPr>
        <w:t xml:space="preserve">   - AI GPU 需求見頂</w:t>
      </w:r>
    </w:p>
    <w:p>
      <w:pPr>
        <w:pStyle w:val="ListNumber"/>
      </w:pPr>
      <w:r>
        <w:rPr>
          <w:rFonts w:ascii="Arial" w:hAnsi="Arial"/>
          <w:b/>
          <w:sz w:val="24"/>
        </w:rPr>
        <w:t>台積電產能分配</w:t>
      </w:r>
    </w:p>
    <w:p>
      <w:pPr/>
      <w:r>
        <w:rPr>
          <w:rFonts w:ascii="Arial" w:hAnsi="Arial"/>
          <w:sz w:val="24"/>
        </w:rPr>
        <w:t xml:space="preserve">   - Apple、NVIDIA 優先級高於 AMD</w:t>
      </w:r>
    </w:p>
    <w:p>
      <w:pPr/>
      <w:r>
        <w:rPr>
          <w:rFonts w:ascii="Arial" w:hAnsi="Arial"/>
          <w:sz w:val="24"/>
        </w:rPr>
        <w:t xml:space="preserve">   - 3nm 良率爬坡影響出貨</w:t>
      </w:r>
    </w:p>
    <w:p>
      <w:pPr>
        <w:pStyle w:val="ListNumber"/>
      </w:pPr>
      <w:r>
        <w:rPr>
          <w:rFonts w:ascii="Arial" w:hAnsi="Arial"/>
          <w:b/>
          <w:sz w:val="24"/>
        </w:rPr>
        <w:t>Intel 反撲</w:t>
      </w:r>
    </w:p>
    <w:p>
      <w:pPr/>
      <w:r>
        <w:rPr>
          <w:rFonts w:ascii="Arial" w:hAnsi="Arial"/>
          <w:sz w:val="24"/>
        </w:rPr>
        <w:t xml:space="preserve">   - Granite Rapids/Sierra Forest 競爭力提升</w:t>
      </w:r>
    </w:p>
    <w:p>
      <w:pPr/>
      <w:r>
        <w:rPr>
          <w:rFonts w:ascii="Arial" w:hAnsi="Arial"/>
          <w:sz w:val="24"/>
        </w:rPr>
        <w:t xml:space="preserve">   - 18A 製程若成功，威脅 AMD 伺服器市佔</w:t>
      </w:r>
    </w:p>
    <w:p>
      <w:r>
        <w:t>__________________________________________________</w:t>
      </w:r>
    </w:p>
    <w:p>
      <w:pPr>
        <w:pStyle w:val="Heading2"/>
      </w:pPr>
      <w:r>
        <w:t>🎯 投資建議</w:t>
      </w:r>
    </w:p>
    <w:p>
      <w:pPr>
        <w:pStyle w:val="Heading3"/>
      </w:pPr>
      <w:r>
        <w:t>評級：**買入（Buy）**</w:t>
      </w:r>
    </w:p>
    <w:p>
      <w:pPr/>
      <w:r>
        <w:rPr>
          <w:rFonts w:ascii="Arial" w:hAnsi="Arial"/>
          <w:b/>
          <w:sz w:val="24"/>
        </w:rPr>
        <w:t>目標價：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$280</w:t>
      </w:r>
      <w:r>
        <w:rPr>
          <w:rFonts w:ascii="Arial" w:hAnsi="Arial"/>
          <w:sz w:val="24"/>
        </w:rPr>
        <w:t>（+40% 上檔空間）</w:t>
      </w:r>
    </w:p>
    <w:p>
      <w:pPr/>
      <w:r>
        <w:rPr>
          <w:rFonts w:ascii="Arial" w:hAnsi="Arial"/>
          <w:b/>
          <w:sz w:val="24"/>
        </w:rPr>
        <w:t>投資邏輯：</w:t>
      </w:r>
    </w:p>
    <w:p>
      <w:pPr>
        <w:pStyle w:val="ListNumber"/>
      </w:pPr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數據中心成長確定性高</w:t>
      </w:r>
      <w:r>
        <w:rPr>
          <w:rFonts w:ascii="Arial" w:hAnsi="Arial"/>
          <w:sz w:val="24"/>
        </w:rPr>
        <w:t>：AI GPU + EPYC 雙引擎驅動</w:t>
      </w:r>
    </w:p>
    <w:p>
      <w:pPr>
        <w:pStyle w:val="ListNumber"/>
      </w:pPr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毛利率有擴張空間</w:t>
      </w:r>
      <w:r>
        <w:rPr>
          <w:rFonts w:ascii="Arial" w:hAnsi="Arial"/>
          <w:sz w:val="24"/>
        </w:rPr>
        <w:t>：MI300/MI400 放量，2027年可望達 55-60%</w:t>
      </w:r>
    </w:p>
    <w:p>
      <w:pPr>
        <w:pStyle w:val="ListNumber"/>
      </w:pPr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估值相對合理</w:t>
      </w:r>
      <w:r>
        <w:rPr>
          <w:rFonts w:ascii="Arial" w:hAnsi="Arial"/>
          <w:sz w:val="24"/>
        </w:rPr>
        <w:t>：PEG &lt; 1，成長性支撐估值</w:t>
      </w:r>
    </w:p>
    <w:p>
      <w:pPr>
        <w:pStyle w:val="ListNumber"/>
      </w:pPr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財務穩健</w:t>
      </w:r>
      <w:r>
        <w:rPr>
          <w:rFonts w:ascii="Arial" w:hAnsi="Arial"/>
          <w:sz w:val="24"/>
        </w:rPr>
        <w:t>：淨現金、FCF 強勁</w:t>
      </w:r>
    </w:p>
    <w:p>
      <w:pPr/>
      <w:r>
        <w:rPr>
          <w:rFonts w:ascii="Arial" w:hAnsi="Arial"/>
          <w:b/>
          <w:sz w:val="24"/>
        </w:rPr>
        <w:t>風險提示：</w:t>
      </w:r>
    </w:p>
    <w:p>
      <w:pPr>
        <w:pStyle w:val="ListNumber"/>
      </w:pPr>
      <w:r>
        <w:rPr>
          <w:rFonts w:ascii="Arial" w:hAnsi="Arial"/>
          <w:sz w:val="24"/>
        </w:rPr>
        <w:t xml:space="preserve">⚠️ </w:t>
      </w:r>
      <w:r>
        <w:rPr>
          <w:rFonts w:ascii="Arial" w:hAnsi="Arial"/>
          <w:b/>
          <w:sz w:val="24"/>
        </w:rPr>
        <w:t>短期估值偏高</w:t>
      </w:r>
      <w:r>
        <w:rPr>
          <w:rFonts w:ascii="Arial" w:hAnsi="Arial"/>
          <w:sz w:val="24"/>
        </w:rPr>
        <w:t>：P/E 80x，需成長兌現</w:t>
      </w:r>
    </w:p>
    <w:p>
      <w:pPr>
        <w:pStyle w:val="ListNumber"/>
      </w:pPr>
      <w:r>
        <w:rPr>
          <w:rFonts w:ascii="Arial" w:hAnsi="Arial"/>
          <w:sz w:val="24"/>
        </w:rPr>
        <w:t xml:space="preserve">⚠️ </w:t>
      </w:r>
      <w:r>
        <w:rPr>
          <w:rFonts w:ascii="Arial" w:hAnsi="Arial"/>
          <w:b/>
          <w:sz w:val="24"/>
        </w:rPr>
        <w:t>毛利率擴張依賴 AI GPU</w:t>
      </w:r>
      <w:r>
        <w:rPr>
          <w:rFonts w:ascii="Arial" w:hAnsi="Arial"/>
          <w:sz w:val="24"/>
        </w:rPr>
        <w:t>：若市佔未達預期，毛利率難突破</w:t>
      </w:r>
    </w:p>
    <w:p>
      <w:pPr>
        <w:pStyle w:val="ListNumber"/>
      </w:pPr>
      <w:r>
        <w:rPr>
          <w:rFonts w:ascii="Arial" w:hAnsi="Arial"/>
          <w:sz w:val="24"/>
        </w:rPr>
        <w:t xml:space="preserve">⚠️ </w:t>
      </w:r>
      <w:r>
        <w:rPr>
          <w:rFonts w:ascii="Arial" w:hAnsi="Arial"/>
          <w:b/>
          <w:sz w:val="24"/>
        </w:rPr>
        <w:t>地緣政治風險</w:t>
      </w:r>
      <w:r>
        <w:rPr>
          <w:rFonts w:ascii="Arial" w:hAnsi="Arial"/>
          <w:sz w:val="24"/>
        </w:rPr>
        <w:t>：中國市場、台積電供應鏈</w:t>
      </w:r>
    </w:p>
    <w:p>
      <w:pPr>
        <w:pStyle w:val="Heading3"/>
      </w:pPr>
      <w:r>
        <w:t>配置建議</w:t>
      </w:r>
    </w:p>
    <w:p>
      <w:pPr/>
      <w:r>
        <w:rPr>
          <w:rFonts w:ascii="Arial" w:hAnsi="Arial"/>
          <w:b/>
          <w:sz w:val="24"/>
        </w:rPr>
        <w:t>適合投資人類型：</w:t>
      </w:r>
    </w:p>
    <w:p>
      <w:pPr>
        <w:pStyle w:val="ListBullet"/>
      </w:pPr>
      <w:r>
        <w:rPr>
          <w:rFonts w:ascii="Arial" w:hAnsi="Arial"/>
          <w:sz w:val="24"/>
        </w:rPr>
        <w:t>成長型投資人（持有期 2-3年）</w:t>
      </w:r>
    </w:p>
    <w:p>
      <w:pPr>
        <w:pStyle w:val="ListBullet"/>
      </w:pPr>
      <w:r>
        <w:rPr>
          <w:rFonts w:ascii="Arial" w:hAnsi="Arial"/>
          <w:sz w:val="24"/>
        </w:rPr>
        <w:t>看好 AI 半導體長期趨勢</w:t>
      </w:r>
    </w:p>
    <w:p>
      <w:pPr>
        <w:pStyle w:val="ListBullet"/>
      </w:pPr>
      <w:r>
        <w:rPr>
          <w:rFonts w:ascii="Arial" w:hAnsi="Arial"/>
          <w:sz w:val="24"/>
        </w:rPr>
        <w:t>能承受 20-30% 波動</w:t>
      </w:r>
    </w:p>
    <w:p>
      <w:pPr/>
      <w:r>
        <w:rPr>
          <w:rFonts w:ascii="Arial" w:hAnsi="Arial"/>
          <w:b/>
          <w:sz w:val="24"/>
        </w:rPr>
        <w:t>建議倉位：</w:t>
      </w:r>
    </w:p>
    <w:p>
      <w:pPr>
        <w:pStyle w:val="ListBullet"/>
      </w:pPr>
      <w:r>
        <w:rPr>
          <w:rFonts w:ascii="Arial" w:hAnsi="Arial"/>
          <w:b/>
          <w:sz w:val="24"/>
        </w:rPr>
        <w:t>核心持倉</w:t>
      </w:r>
      <w:r>
        <w:rPr>
          <w:rFonts w:ascii="Arial" w:hAnsi="Arial"/>
          <w:sz w:val="24"/>
        </w:rPr>
        <w:t>：5-10%（配合 NVIDIA 分散風險）</w:t>
      </w:r>
    </w:p>
    <w:p>
      <w:pPr>
        <w:pStyle w:val="ListBullet"/>
      </w:pPr>
      <w:r>
        <w:rPr>
          <w:rFonts w:ascii="Arial" w:hAnsi="Arial"/>
          <w:b/>
          <w:sz w:val="24"/>
        </w:rPr>
        <w:t>衛星倉位</w:t>
      </w:r>
      <w:r>
        <w:rPr>
          <w:rFonts w:ascii="Arial" w:hAnsi="Arial"/>
          <w:sz w:val="24"/>
        </w:rPr>
        <w:t>：3-5%（短線交易）</w:t>
      </w:r>
    </w:p>
    <w:p>
      <w:pPr/>
      <w:r>
        <w:rPr>
          <w:rFonts w:ascii="Arial" w:hAnsi="Arial"/>
          <w:b/>
          <w:sz w:val="24"/>
        </w:rPr>
        <w:t>買入策略：</w:t>
      </w:r>
    </w:p>
    <w:p>
      <w:pPr>
        <w:pStyle w:val="ListBullet"/>
      </w:pPr>
      <w:r>
        <w:rPr>
          <w:rFonts w:ascii="Arial" w:hAnsi="Arial"/>
          <w:b/>
          <w:sz w:val="24"/>
        </w:rPr>
        <w:t>分批建倉</w:t>
      </w:r>
      <w:r>
        <w:rPr>
          <w:rFonts w:ascii="Arial" w:hAnsi="Arial"/>
          <w:sz w:val="24"/>
        </w:rPr>
        <w:t>：$180-200 區間分批買入</w:t>
      </w:r>
    </w:p>
    <w:p>
      <w:pPr>
        <w:pStyle w:val="ListBullet"/>
      </w:pPr>
      <w:r>
        <w:rPr>
          <w:rFonts w:ascii="Arial" w:hAnsi="Arial"/>
          <w:b/>
          <w:sz w:val="24"/>
        </w:rPr>
        <w:t>止損點</w:t>
      </w:r>
      <w:r>
        <w:rPr>
          <w:rFonts w:ascii="Arial" w:hAnsi="Arial"/>
          <w:sz w:val="24"/>
        </w:rPr>
        <w:t>：$160（-20%）</w:t>
      </w:r>
    </w:p>
    <w:p>
      <w:pPr>
        <w:pStyle w:val="ListBullet"/>
      </w:pPr>
      <w:r>
        <w:rPr>
          <w:rFonts w:ascii="Arial" w:hAnsi="Arial"/>
          <w:b/>
          <w:sz w:val="24"/>
        </w:rPr>
        <w:t>加碼點</w:t>
      </w:r>
      <w:r>
        <w:rPr>
          <w:rFonts w:ascii="Arial" w:hAnsi="Arial"/>
          <w:sz w:val="24"/>
        </w:rPr>
        <w:t>：財報超預期、MI400 發布前</w:t>
      </w:r>
    </w:p>
    <w:p>
      <w:r>
        <w:t>__________________________________________________</w:t>
      </w:r>
    </w:p>
    <w:p>
      <w:pPr>
        <w:pStyle w:val="Heading2"/>
      </w:pPr>
      <w:r>
        <w:t>📌 關鍵監控指標</w:t>
      </w:r>
    </w:p>
    <w:p>
      <w:pPr/>
      <w:r>
        <w:rPr>
          <w:rFonts w:ascii="Arial" w:hAnsi="Arial"/>
          <w:b/>
          <w:sz w:val="24"/>
        </w:rPr>
        <w:t>每季追蹤：</w:t>
      </w:r>
    </w:p>
    <w:p>
      <w:pPr>
        <w:pStyle w:val="ListNumber"/>
      </w:pPr>
      <w:r>
        <w:rPr>
          <w:rFonts w:ascii="Arial" w:hAnsi="Arial"/>
          <w:b/>
          <w:sz w:val="24"/>
        </w:rPr>
        <w:t>數據中心營收成長率</w:t>
      </w:r>
      <w:r>
        <w:rPr>
          <w:rFonts w:ascii="Arial" w:hAnsi="Arial"/>
          <w:sz w:val="24"/>
        </w:rPr>
        <w:t>（目標 30%+）</w:t>
      </w:r>
    </w:p>
    <w:p>
      <w:pPr>
        <w:pStyle w:val="ListNumber"/>
      </w:pPr>
      <w:r>
        <w:rPr>
          <w:rFonts w:ascii="Arial" w:hAnsi="Arial"/>
          <w:b/>
          <w:sz w:val="24"/>
        </w:rPr>
        <w:t>毛利率趨勢</w:t>
      </w:r>
      <w:r>
        <w:rPr>
          <w:rFonts w:ascii="Arial" w:hAnsi="Arial"/>
          <w:sz w:val="24"/>
        </w:rPr>
        <w:t>（目標季增 0.5-1pp）</w:t>
      </w:r>
    </w:p>
    <w:p>
      <w:pPr>
        <w:pStyle w:val="ListNumber"/>
      </w:pPr>
      <w:r>
        <w:rPr>
          <w:rFonts w:ascii="Arial" w:hAnsi="Arial"/>
          <w:b/>
          <w:sz w:val="24"/>
        </w:rPr>
        <w:t>AI GPU 出貨量</w:t>
      </w:r>
      <w:r>
        <w:rPr>
          <w:rFonts w:ascii="Arial" w:hAnsi="Arial"/>
          <w:sz w:val="24"/>
        </w:rPr>
        <w:t>（MI300/MI350）</w:t>
      </w:r>
    </w:p>
    <w:p>
      <w:pPr>
        <w:pStyle w:val="ListNumber"/>
      </w:pPr>
      <w:r>
        <w:rPr>
          <w:rFonts w:ascii="Arial" w:hAnsi="Arial"/>
          <w:b/>
          <w:sz w:val="24"/>
        </w:rPr>
        <w:t>EPYC 市佔率</w:t>
      </w:r>
      <w:r>
        <w:rPr>
          <w:rFonts w:ascii="Arial" w:hAnsi="Arial"/>
          <w:sz w:val="24"/>
        </w:rPr>
        <w:t>（目標 2026年底 35%）</w:t>
      </w:r>
    </w:p>
    <w:p>
      <w:pPr>
        <w:pStyle w:val="ListNumber"/>
      </w:pPr>
      <w:r>
        <w:rPr>
          <w:rFonts w:ascii="Arial" w:hAnsi="Arial"/>
          <w:b/>
          <w:sz w:val="24"/>
        </w:rPr>
        <w:t>自由現金流</w:t>
      </w:r>
      <w:r>
        <w:rPr>
          <w:rFonts w:ascii="Arial" w:hAnsi="Arial"/>
          <w:sz w:val="24"/>
        </w:rPr>
        <w:t>（目標 FCF margin &gt; 15%）</w:t>
      </w:r>
    </w:p>
    <w:p>
      <w:pPr/>
      <w:r>
        <w:rPr>
          <w:rFonts w:ascii="Arial" w:hAnsi="Arial"/>
          <w:b/>
          <w:sz w:val="24"/>
        </w:rPr>
        <w:t>產業動態：</w:t>
      </w:r>
    </w:p>
    <w:p>
      <w:pPr>
        <w:pStyle w:val="ListNumber"/>
      </w:pPr>
      <w:r>
        <w:rPr>
          <w:rFonts w:ascii="Arial" w:hAnsi="Arial"/>
          <w:b/>
          <w:sz w:val="24"/>
        </w:rPr>
        <w:t>NVIDIA 競品進展</w:t>
      </w:r>
      <w:r>
        <w:rPr>
          <w:rFonts w:ascii="Arial" w:hAnsi="Arial"/>
          <w:sz w:val="24"/>
        </w:rPr>
        <w:t>（Blackwell Ultra）</w:t>
      </w:r>
    </w:p>
    <w:p>
      <w:pPr>
        <w:pStyle w:val="ListNumber"/>
      </w:pPr>
      <w:r>
        <w:rPr>
          <w:rFonts w:ascii="Arial" w:hAnsi="Arial"/>
          <w:b/>
          <w:sz w:val="24"/>
        </w:rPr>
        <w:t>台積電產能分配</w:t>
      </w:r>
      <w:r>
        <w:rPr>
          <w:rFonts w:ascii="Arial" w:hAnsi="Arial"/>
          <w:sz w:val="24"/>
        </w:rPr>
        <w:t>（N3/N2 良率）</w:t>
      </w:r>
    </w:p>
    <w:p>
      <w:pPr>
        <w:pStyle w:val="ListNumber"/>
      </w:pPr>
      <w:r>
        <w:rPr>
          <w:rFonts w:ascii="Arial" w:hAnsi="Arial"/>
          <w:b/>
          <w:sz w:val="24"/>
        </w:rPr>
        <w:t>HBM 價格走勢</w:t>
      </w:r>
      <w:r>
        <w:rPr>
          <w:rFonts w:ascii="Arial" w:hAnsi="Arial"/>
          <w:sz w:val="24"/>
        </w:rPr>
        <w:t>（SK Hynix、Samsung）</w:t>
      </w:r>
    </w:p>
    <w:p>
      <w:pPr>
        <w:pStyle w:val="ListNumber"/>
      </w:pPr>
      <w:r>
        <w:rPr>
          <w:rFonts w:ascii="Arial" w:hAnsi="Arial"/>
          <w:b/>
          <w:sz w:val="24"/>
        </w:rPr>
        <w:t>中國政策變化</w:t>
      </w:r>
      <w:r>
        <w:rPr>
          <w:rFonts w:ascii="Arial" w:hAnsi="Arial"/>
          <w:sz w:val="24"/>
        </w:rPr>
        <w:t>（出口管制）</w:t>
      </w:r>
    </w:p>
    <w:p>
      <w:r>
        <w:t>__________________________________________________</w:t>
      </w:r>
    </w:p>
    <w:p>
      <w:pPr>
        <w:pStyle w:val="Heading2"/>
      </w:pPr>
      <w:r>
        <w:t>📚 附錄：財務數據總覽</w:t>
      </w:r>
    </w:p>
    <w:p>
      <w:pPr>
        <w:pStyle w:val="Heading3"/>
      </w:pPr>
      <w:r>
        <w:t>損益表（百萬美元）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項目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2025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2024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2023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2022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2021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營收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34,639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25,785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22,680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23,601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16,434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毛利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17,152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12,725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10,460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10,603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7,929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研發費用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8,091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6,456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5,872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5,005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2,845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營業利益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3,694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1,900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401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1,264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3,648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淨利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4,335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1,641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854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1,320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3,162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稀釋 EPS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$2.65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$1.00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$0.53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$0.84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$2.57</w:t>
            </w:r>
          </w:p>
        </w:tc>
      </w:tr>
    </w:tbl>
    <w:p>
      <w:pPr>
        <w:pStyle w:val="Heading3"/>
      </w:pPr>
      <w:r>
        <w:t>資產負債表（百萬美元）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項目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2024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2023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總資產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76,926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69,226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67,885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流動資產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26,947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19,049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16,768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現金 + 短投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10,552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5,132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5,773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總負債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13,927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11,658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11,993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股東權益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62,999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57,568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55,892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淨負債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-1,067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-1,575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-930</w:t>
            </w:r>
          </w:p>
        </w:tc>
      </w:tr>
    </w:tbl>
    <w:p>
      <w:pPr>
        <w:pStyle w:val="Heading3"/>
      </w:pPr>
      <w:r>
        <w:t>現金流量表（百萬美元）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項目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2024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2023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營運現金流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7,709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3,041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1,667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資本支出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-974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-636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-546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自由現金流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6,735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2,405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1,121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股票回購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-1,316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-1,590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-1,412</w:t>
            </w:r>
          </w:p>
        </w:tc>
      </w:tr>
    </w:tbl>
    <w:p>
      <w:pPr>
        <w:pStyle w:val="Heading3"/>
      </w:pPr>
      <w:r>
        <w:t>關鍵財務比率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比率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2024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2023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毛利率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49.5%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49.4%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46.1%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營業利益率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10.7%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7.4%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1.8%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淨利率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12.5%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6.4%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3.8%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ROE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6.9%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2.9%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1.5%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ROA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5.6%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2.4%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1.3%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流動比率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2.85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2.62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2.51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🔚 結語</w:t>
      </w:r>
    </w:p>
    <w:p>
      <w:pPr/>
      <w:r>
        <w:rPr>
          <w:rFonts w:ascii="Arial" w:hAnsi="Arial"/>
          <w:sz w:val="24"/>
        </w:rPr>
        <w:t xml:space="preserve">AMD 正處於關鍵轉型期，從 CPU 廠商蛻變為 </w:t>
      </w:r>
      <w:r>
        <w:rPr>
          <w:rFonts w:ascii="Arial" w:hAnsi="Arial"/>
          <w:b/>
          <w:sz w:val="24"/>
        </w:rPr>
        <w:t>AI 全方位平台供應商</w:t>
      </w:r>
      <w:r>
        <w:rPr>
          <w:rFonts w:ascii="Arial" w:hAnsi="Arial"/>
          <w:sz w:val="24"/>
        </w:rPr>
        <w:t xml:space="preserve">。數據中心業務（AI GPU + EPYC）成長強勁，2026年將是驗證 </w:t>
      </w:r>
      <w:r>
        <w:rPr>
          <w:rFonts w:ascii="Arial" w:hAnsi="Arial"/>
          <w:b/>
          <w:sz w:val="24"/>
        </w:rPr>
        <w:t>毛利率擴張</w:t>
      </w:r>
      <w:r>
        <w:rPr>
          <w:rFonts w:ascii="Arial" w:hAnsi="Arial"/>
          <w:sz w:val="24"/>
        </w:rPr>
        <w:t>的關鍵年份。</w:t>
      </w:r>
    </w:p>
    <w:p>
      <w:pPr/>
      <w:r>
        <w:rPr>
          <w:rFonts w:ascii="Arial" w:hAnsi="Arial"/>
          <w:b/>
          <w:sz w:val="24"/>
        </w:rPr>
        <w:t>投資核心論點：</w:t>
      </w:r>
    </w:p>
    <w:p>
      <w:pPr>
        <w:pStyle w:val="ListBullet"/>
      </w:pPr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AI GPU 放量</w:t>
      </w:r>
      <w:r>
        <w:rPr>
          <w:rFonts w:ascii="Arial" w:hAnsi="Arial"/>
          <w:sz w:val="24"/>
        </w:rPr>
        <w:t>：MI300/MI350/MI400 逐步放量，佔營收比重提升</w:t>
      </w:r>
    </w:p>
    <w:p>
      <w:pPr>
        <w:pStyle w:val="ListBullet"/>
      </w:pPr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EPYC 市佔擴張</w:t>
      </w:r>
      <w:r>
        <w:rPr>
          <w:rFonts w:ascii="Arial" w:hAnsi="Arial"/>
          <w:sz w:val="24"/>
        </w:rPr>
        <w:t>：從 25% → 35%，規模效應顯現</w:t>
      </w:r>
    </w:p>
    <w:p>
      <w:pPr>
        <w:pStyle w:val="ListBullet"/>
      </w:pPr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毛利率突破</w:t>
      </w:r>
      <w:r>
        <w:rPr>
          <w:rFonts w:ascii="Arial" w:hAnsi="Arial"/>
          <w:sz w:val="24"/>
        </w:rPr>
        <w:t>：2027年有望達 55-60%，淨利率達 20%+</w:t>
      </w:r>
    </w:p>
    <w:p>
      <w:pPr/>
      <w:r>
        <w:rPr>
          <w:rFonts w:ascii="Arial" w:hAnsi="Arial"/>
          <w:b/>
          <w:sz w:val="24"/>
        </w:rPr>
        <w:t>毛利率突破點：</w:t>
      </w:r>
    </w:p>
    <w:p>
      <w:pPr/>
      <w:r>
        <w:rPr>
          <w:rFonts w:ascii="Arial" w:hAnsi="Arial"/>
          <w:sz w:val="24"/>
        </w:rPr>
        <w:t xml:space="preserve">當 </w:t>
      </w:r>
      <w:r>
        <w:rPr>
          <w:rFonts w:ascii="Arial" w:hAnsi="Arial"/>
          <w:b/>
          <w:sz w:val="24"/>
        </w:rPr>
        <w:t>AI GPU 營收佔比達 35-40%</w:t>
      </w:r>
      <w:r>
        <w:rPr>
          <w:rFonts w:ascii="Arial" w:hAnsi="Arial"/>
          <w:sz w:val="24"/>
        </w:rPr>
        <w:t xml:space="preserve">，且 </w:t>
      </w:r>
      <w:r>
        <w:rPr>
          <w:rFonts w:ascii="Arial" w:hAnsi="Arial"/>
          <w:b/>
          <w:sz w:val="24"/>
        </w:rPr>
        <w:t>AI GPU 毛利率穩定在 65-70%</w:t>
      </w:r>
      <w:r>
        <w:rPr>
          <w:rFonts w:ascii="Arial" w:hAnsi="Arial"/>
          <w:sz w:val="24"/>
        </w:rPr>
        <w:t xml:space="preserve"> 時，AMD 整體毛利率可突破 60%，淨利率達 25%，接近 NVIDIA 水準。</w:t>
      </w:r>
    </w:p>
    <w:p>
      <w:pPr/>
      <w:r>
        <w:rPr>
          <w:rFonts w:ascii="Arial" w:hAnsi="Arial"/>
          <w:b/>
          <w:sz w:val="24"/>
        </w:rPr>
        <w:t>時間表：</w:t>
      </w:r>
      <w:r>
        <w:rPr>
          <w:rFonts w:ascii="Arial" w:hAnsi="Arial"/>
          <w:sz w:val="24"/>
        </w:rPr>
        <w:t xml:space="preserve"> 2027-2028年是關鍵觀察期。</w:t>
      </w:r>
    </w:p>
    <w:p>
      <w:r>
        <w:t>__________________________________________________</w:t>
      </w:r>
    </w:p>
    <w:p>
      <w:pPr/>
      <w:r>
        <w:rPr>
          <w:rFonts w:ascii="Arial" w:hAnsi="Arial"/>
          <w:b/>
          <w:sz w:val="24"/>
        </w:rPr>
        <w:t>免責聲明：</w:t>
      </w:r>
      <w:r>
        <w:rPr>
          <w:rFonts w:ascii="Arial" w:hAnsi="Arial"/>
          <w:sz w:val="24"/>
        </w:rPr>
        <w:t xml:space="preserve"> 本報告僅供研究參考，不構成投資建議。投資有風險，決策需謹慎。</w:t>
      </w:r>
    </w:p>
    <w:p>
      <w:pPr/>
      <w:r>
        <w:rPr>
          <w:rFonts w:ascii="Arial" w:hAnsi="Arial"/>
          <w:b/>
          <w:sz w:val="24"/>
        </w:rPr>
        <w:t>研究機構：</w:t>
      </w:r>
      <w:r>
        <w:rPr>
          <w:rFonts w:ascii="Arial" w:hAnsi="Arial"/>
          <w:sz w:val="24"/>
        </w:rPr>
        <w:t xml:space="preserve"> OpenClaw AI Investment Research</w:t>
      </w:r>
    </w:p>
    <w:p>
      <w:pPr/>
      <w:r>
        <w:rPr>
          <w:rFonts w:ascii="Arial" w:hAnsi="Arial"/>
          <w:b/>
          <w:sz w:val="24"/>
        </w:rPr>
        <w:t>報告日期：</w:t>
      </w:r>
      <w:r>
        <w:rPr>
          <w:rFonts w:ascii="Arial" w:hAnsi="Arial"/>
          <w:sz w:val="24"/>
        </w:rPr>
        <w:t xml:space="preserve"> 2026年2月19日</w:t>
      </w:r>
    </w:p>
    <w:p>
      <w:r>
        <w:t>__________________________________________________</w:t>
      </w:r>
    </w:p>
    <w:p>
      <w:pPr>
        <w:pStyle w:val="Heading2"/>
      </w:pPr>
      <w:r>
        <w:t>十三、競爭對手比較（2026）</w:t>
      </w:r>
    </w:p>
    <w:p>
      <w:pPr>
        <w:pStyle w:val="Heading3"/>
      </w:pPr>
      <w:r>
        <w:t>AMD vs NVIDIA（AI GPU）</w:t>
      </w:r>
    </w:p>
    <w:p>
      <w:pPr>
        <w:pStyle w:val="ListBullet"/>
      </w:pPr>
      <w:r>
        <w:rPr>
          <w:rFonts w:ascii="Arial" w:hAnsi="Arial"/>
          <w:b/>
          <w:sz w:val="24"/>
        </w:rPr>
        <w:t>NVIDIA 2026做法：</w:t>
      </w:r>
      <w:r>
        <w:rPr>
          <w:rFonts w:ascii="Arial" w:hAnsi="Arial"/>
          <w:sz w:val="24"/>
        </w:rPr>
        <w:t xml:space="preserve"> Blackwell 生態 + CUDA 鎖定企業AI開發流程。</w:t>
      </w:r>
    </w:p>
    <w:p>
      <w:pPr>
        <w:pStyle w:val="ListBullet"/>
      </w:pPr>
      <w:r>
        <w:rPr>
          <w:rFonts w:ascii="Arial" w:hAnsi="Arial"/>
          <w:b/>
          <w:sz w:val="24"/>
        </w:rPr>
        <w:t>AMD 2026做法：</w:t>
      </w:r>
      <w:r>
        <w:rPr>
          <w:rFonts w:ascii="Arial" w:hAnsi="Arial"/>
          <w:sz w:val="24"/>
        </w:rPr>
        <w:t xml:space="preserve"> MI350/MI400 性價比切入 + ROCm 生態追趕。</w:t>
      </w:r>
    </w:p>
    <w:p>
      <w:pPr>
        <w:pStyle w:val="ListBullet"/>
      </w:pPr>
      <w:r>
        <w:rPr>
          <w:rFonts w:ascii="Arial" w:hAnsi="Arial"/>
          <w:b/>
          <w:sz w:val="24"/>
        </w:rPr>
        <w:t>誰有優勢：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NVIDIA 明顯領先</w:t>
      </w:r>
      <w:r>
        <w:rPr>
          <w:rFonts w:ascii="Arial" w:hAnsi="Arial"/>
          <w:sz w:val="24"/>
        </w:rPr>
        <w:t>（軟體生態與市占）。</w:t>
      </w:r>
    </w:p>
    <w:p>
      <w:pPr>
        <w:pStyle w:val="Heading3"/>
      </w:pPr>
      <w:r>
        <w:t>AMD vs Intel（伺服器CPU）</w:t>
      </w:r>
    </w:p>
    <w:p>
      <w:pPr>
        <w:pStyle w:val="ListBullet"/>
      </w:pPr>
      <w:r>
        <w:rPr>
          <w:rFonts w:ascii="Arial" w:hAnsi="Arial"/>
          <w:b/>
          <w:sz w:val="24"/>
        </w:rPr>
        <w:t>Intel 2026做法：</w:t>
      </w:r>
      <w:r>
        <w:rPr>
          <w:rFonts w:ascii="Arial" w:hAnsi="Arial"/>
          <w:sz w:val="24"/>
        </w:rPr>
        <w:t xml:space="preserve"> Granite Rapids / Sierra Forest 反攻資料中心。</w:t>
      </w:r>
    </w:p>
    <w:p>
      <w:pPr>
        <w:pStyle w:val="ListBullet"/>
      </w:pPr>
      <w:r>
        <w:rPr>
          <w:rFonts w:ascii="Arial" w:hAnsi="Arial"/>
          <w:b/>
          <w:sz w:val="24"/>
        </w:rPr>
        <w:t>AMD 2026做法：</w:t>
      </w:r>
      <w:r>
        <w:rPr>
          <w:rFonts w:ascii="Arial" w:hAnsi="Arial"/>
          <w:sz w:val="24"/>
        </w:rPr>
        <w:t xml:space="preserve"> EPYC Turin 放大核心數與能效優勢。</w:t>
      </w:r>
    </w:p>
    <w:p>
      <w:pPr>
        <w:pStyle w:val="ListBullet"/>
      </w:pPr>
      <w:r>
        <w:rPr>
          <w:rFonts w:ascii="Arial" w:hAnsi="Arial"/>
          <w:b/>
          <w:sz w:val="24"/>
        </w:rPr>
        <w:t>誰有優勢：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AMD 略佔上風</w:t>
      </w:r>
      <w:r>
        <w:rPr>
          <w:rFonts w:ascii="Arial" w:hAnsi="Arial"/>
          <w:sz w:val="24"/>
        </w:rPr>
        <w:t>，主要因產品節奏與TCO表現。</w:t>
      </w:r>
    </w:p>
    <w:p>
      <w:pPr>
        <w:pStyle w:val="Heading3"/>
      </w:pPr>
      <w:r>
        <w:t>綜合判斷</w:t>
      </w:r>
    </w:p>
    <w:p>
      <w:pPr>
        <w:pStyle w:val="ListBullet"/>
      </w:pPr>
      <w:r>
        <w:rPr>
          <w:rFonts w:ascii="Arial" w:hAnsi="Arial"/>
          <w:b/>
          <w:sz w:val="24"/>
        </w:rPr>
        <w:t>AI GPU：</w:t>
      </w:r>
      <w:r>
        <w:rPr>
          <w:rFonts w:ascii="Arial" w:hAnsi="Arial"/>
          <w:sz w:val="24"/>
        </w:rPr>
        <w:t xml:space="preserve"> AMD 是最強挑戰者，但仍需時間追趕 NVIDIA</w:t>
      </w:r>
    </w:p>
    <w:p>
      <w:pPr>
        <w:pStyle w:val="ListBullet"/>
      </w:pPr>
      <w:r>
        <w:rPr>
          <w:rFonts w:ascii="Arial" w:hAnsi="Arial"/>
          <w:b/>
          <w:sz w:val="24"/>
        </w:rPr>
        <w:t>伺服器CPU：</w:t>
      </w:r>
      <w:r>
        <w:rPr>
          <w:rFonts w:ascii="Arial" w:hAnsi="Arial"/>
          <w:sz w:val="24"/>
        </w:rPr>
        <w:t xml:space="preserve"> AMD 持續吃下 Intel 市占</w:t>
      </w:r>
    </w:p>
    <w:p>
      <w:pPr>
        <w:pStyle w:val="ListBullet"/>
      </w:pPr>
      <w:r>
        <w:rPr>
          <w:rFonts w:ascii="Arial" w:hAnsi="Arial"/>
          <w:b/>
          <w:sz w:val="24"/>
        </w:rPr>
        <w:t>關鍵變數：</w:t>
      </w:r>
      <w:r>
        <w:rPr>
          <w:rFonts w:ascii="Arial" w:hAnsi="Arial"/>
          <w:sz w:val="24"/>
        </w:rPr>
        <w:t xml:space="preserve"> ROCm 生態成熟度 + HBM 成本曲線</w:t>
      </w:r>
    </w:p>
    <w:p>
      <w:pPr>
        <w:pStyle w:val="Heading3"/>
      </w:pPr>
      <w:r>
        <w:t>AMD 競爭對手比較（2026）</w:t>
      </w:r>
    </w:p>
    <w:p>
      <w:pPr>
        <w:pStyle w:val="ListBullet"/>
      </w:pPr>
      <w:r>
        <w:rPr>
          <w:rFonts w:ascii="Arial" w:hAnsi="Arial"/>
          <w:sz w:val="24"/>
        </w:rPr>
        <w:t>vs NVIDIA：NVIDIA 仍靠 CUDA + GB 系列領先；AMD 用 MI400 + 性價比切入第二供應商需求。</w:t>
      </w:r>
    </w:p>
    <w:p>
      <w:pPr>
        <w:pStyle w:val="ListBullet"/>
      </w:pPr>
      <w:r>
        <w:rPr>
          <w:rFonts w:ascii="Arial" w:hAnsi="Arial"/>
          <w:sz w:val="24"/>
        </w:rPr>
        <w:t>vs Intel（CPU）：AMD 在伺服器市佔持續推進，Intel 仍在製程與產品節奏追趕。</w:t>
      </w:r>
    </w:p>
    <w:p>
      <w:pPr>
        <w:pStyle w:val="ListBullet"/>
      </w:pPr>
      <w:r>
        <w:rPr>
          <w:rFonts w:ascii="Arial" w:hAnsi="Arial"/>
          <w:sz w:val="24"/>
        </w:rPr>
        <w:t>vs Qualcomm/Apple（AI PC）：AMD 優勢是 Windows/x86 相容，弱勢是 ARM 能效與生態。</w:t>
      </w:r>
    </w:p>
    <w:p>
      <w:r>
        <w:br w:type="page"/>
      </w:r>
    </w:p>
    <w:p>
      <w:pPr>
        <w:pStyle w:val="Heading2"/>
      </w:pPr>
      <w:r>
        <w:t>第五部：ARES</w:t>
      </w:r>
    </w:p>
    <w:p>
      <w:pPr>
        <w:pStyle w:val="Heading1"/>
      </w:pPr>
      <w:r>
        <w:t>Ares Management Corporation (ARES) 投資研究報告</w:t>
      </w:r>
    </w:p>
    <w:p>
      <w:pPr/>
      <w:r>
        <w:rPr>
          <w:rFonts w:ascii="Arial" w:hAnsi="Arial"/>
          <w:b/>
          <w:sz w:val="24"/>
        </w:rPr>
        <w:t>報告日期:</w:t>
      </w:r>
      <w:r>
        <w:rPr>
          <w:rFonts w:ascii="Arial" w:hAnsi="Arial"/>
          <w:sz w:val="24"/>
        </w:rPr>
        <w:t xml:space="preserve"> 2026年2月19日</w:t>
      </w:r>
    </w:p>
    <w:p>
      <w:pPr/>
      <w:r>
        <w:rPr>
          <w:rFonts w:ascii="Arial" w:hAnsi="Arial"/>
          <w:b/>
          <w:sz w:val="24"/>
        </w:rPr>
        <w:t>股票代碼:</w:t>
      </w:r>
      <w:r>
        <w:rPr>
          <w:rFonts w:ascii="Arial" w:hAnsi="Arial"/>
          <w:sz w:val="24"/>
        </w:rPr>
        <w:t xml:space="preserve"> ARES (NYSE)</w:t>
      </w:r>
    </w:p>
    <w:p>
      <w:pPr/>
      <w:r>
        <w:rPr>
          <w:rFonts w:ascii="Arial" w:hAnsi="Arial"/>
          <w:b/>
          <w:sz w:val="24"/>
        </w:rPr>
        <w:t>當前股價:</w:t>
      </w:r>
      <w:r>
        <w:rPr>
          <w:rFonts w:ascii="Arial" w:hAnsi="Arial"/>
          <w:sz w:val="24"/>
        </w:rPr>
        <w:t xml:space="preserve"> $133.97 USD</w:t>
      </w:r>
    </w:p>
    <w:p>
      <w:pPr/>
      <w:r>
        <w:rPr>
          <w:rFonts w:ascii="Arial" w:hAnsi="Arial"/>
          <w:b/>
          <w:sz w:val="24"/>
        </w:rPr>
        <w:t>市值:</w:t>
      </w:r>
      <w:r>
        <w:rPr>
          <w:rFonts w:ascii="Arial" w:hAnsi="Arial"/>
          <w:sz w:val="24"/>
        </w:rPr>
        <w:t xml:space="preserve"> $440億美元</w:t>
      </w:r>
    </w:p>
    <w:p>
      <w:r>
        <w:t>__________________________________________________</w:t>
      </w:r>
    </w:p>
    <w:p>
      <w:pPr>
        <w:pStyle w:val="Heading2"/>
      </w:pPr>
      <w:r>
        <w:t>一、公司概況</w:t>
      </w:r>
    </w:p>
    <w:p>
      <w:pPr>
        <w:pStyle w:val="Heading3"/>
      </w:pPr>
      <w:r>
        <w:t>1.1 基本資訊</w:t>
      </w:r>
    </w:p>
    <w:p>
      <w:pPr/>
      <w:r>
        <w:rPr>
          <w:rFonts w:ascii="Arial" w:hAnsi="Arial"/>
          <w:b/>
          <w:sz w:val="24"/>
        </w:rPr>
        <w:t>公司名稱:</w:t>
      </w:r>
      <w:r>
        <w:rPr>
          <w:rFonts w:ascii="Arial" w:hAnsi="Arial"/>
          <w:sz w:val="24"/>
        </w:rPr>
        <w:t xml:space="preserve"> Ares Management Corporation</w:t>
      </w:r>
    </w:p>
    <w:p>
      <w:pPr/>
      <w:r>
        <w:rPr>
          <w:rFonts w:ascii="Arial" w:hAnsi="Arial"/>
          <w:b/>
          <w:sz w:val="24"/>
        </w:rPr>
        <w:t>成立時間:</w:t>
      </w:r>
      <w:r>
        <w:rPr>
          <w:rFonts w:ascii="Arial" w:hAnsi="Arial"/>
          <w:sz w:val="24"/>
        </w:rPr>
        <w:t xml:space="preserve"> 1997年</w:t>
      </w:r>
    </w:p>
    <w:p>
      <w:pPr/>
      <w:r>
        <w:rPr>
          <w:rFonts w:ascii="Arial" w:hAnsi="Arial"/>
          <w:b/>
          <w:sz w:val="24"/>
        </w:rPr>
        <w:t>總部:</w:t>
      </w:r>
      <w:r>
        <w:rPr>
          <w:rFonts w:ascii="Arial" w:hAnsi="Arial"/>
          <w:sz w:val="24"/>
        </w:rPr>
        <w:t xml:space="preserve"> 美國加州洛杉磯</w:t>
      </w:r>
    </w:p>
    <w:p>
      <w:pPr/>
      <w:r>
        <w:rPr>
          <w:rFonts w:ascii="Arial" w:hAnsi="Arial"/>
          <w:b/>
          <w:sz w:val="24"/>
        </w:rPr>
        <w:t>執行長:</w:t>
      </w:r>
      <w:r>
        <w:rPr>
          <w:rFonts w:ascii="Arial" w:hAnsi="Arial"/>
          <w:sz w:val="24"/>
        </w:rPr>
        <w:t xml:space="preserve"> Michael J. Arougheti</w:t>
      </w:r>
    </w:p>
    <w:p>
      <w:pPr/>
      <w:r>
        <w:rPr>
          <w:rFonts w:ascii="Arial" w:hAnsi="Arial"/>
          <w:b/>
          <w:sz w:val="24"/>
        </w:rPr>
        <w:t>員工人數:</w:t>
      </w:r>
      <w:r>
        <w:rPr>
          <w:rFonts w:ascii="Arial" w:hAnsi="Arial"/>
          <w:sz w:val="24"/>
        </w:rPr>
        <w:t xml:space="preserve"> 3,504人</w:t>
      </w:r>
    </w:p>
    <w:p>
      <w:pPr/>
      <w:r>
        <w:rPr>
          <w:rFonts w:ascii="Arial" w:hAnsi="Arial"/>
          <w:b/>
          <w:sz w:val="24"/>
        </w:rPr>
        <w:t>上市日期:</w:t>
      </w:r>
      <w:r>
        <w:rPr>
          <w:rFonts w:ascii="Arial" w:hAnsi="Arial"/>
          <w:sz w:val="24"/>
        </w:rPr>
        <w:t xml:space="preserve"> 2014年5月2日</w:t>
      </w:r>
    </w:p>
    <w:p>
      <w:pPr>
        <w:pStyle w:val="Heading3"/>
      </w:pPr>
      <w:r>
        <w:t>1.2 業務描述</w:t>
      </w:r>
    </w:p>
    <w:p>
      <w:pPr/>
      <w:r>
        <w:rPr>
          <w:rFonts w:ascii="Arial" w:hAnsi="Arial"/>
          <w:sz w:val="24"/>
        </w:rPr>
        <w:t>Ares Management 是一家全球領先的另類資產管理公司,在美國、歐洲和亞洲運營。公司專注於四大核心業務領域:</w:t>
      </w:r>
    </w:p>
    <w:p>
      <w:pPr/>
      <w:r>
        <w:rPr>
          <w:rFonts w:ascii="Arial" w:hAnsi="Arial"/>
          <w:b/>
          <w:sz w:val="24"/>
        </w:rPr>
        <w:t>核心業務板塊:</w:t>
      </w:r>
    </w:p>
    <w:p>
      <w:pPr>
        <w:pStyle w:val="ListNumber"/>
      </w:pPr>
      <w:r>
        <w:rPr>
          <w:rFonts w:ascii="Arial" w:hAnsi="Arial"/>
          <w:b/>
          <w:sz w:val="24"/>
        </w:rPr>
        <w:t>信貸 (Credit Group / Tradable Credit)</w:t>
      </w:r>
    </w:p>
    <w:p>
      <w:pPr/>
      <w:r>
        <w:rPr>
          <w:rFonts w:ascii="Arial" w:hAnsi="Arial"/>
          <w:sz w:val="24"/>
        </w:rPr>
        <w:t xml:space="preserve">   - 管理各類投資基金,包括機構投資者的混合型和獨立管理帳戶</w:t>
      </w:r>
    </w:p>
    <w:p>
      <w:pPr/>
      <w:r>
        <w:rPr>
          <w:rFonts w:ascii="Arial" w:hAnsi="Arial"/>
          <w:sz w:val="24"/>
        </w:rPr>
        <w:t xml:space="preserve">   - 面向散戶投資者的公開交易工具和子顧問基金</w:t>
      </w:r>
    </w:p>
    <w:p>
      <w:pPr/>
      <w:r>
        <w:rPr>
          <w:rFonts w:ascii="Arial" w:hAnsi="Arial"/>
          <w:sz w:val="24"/>
        </w:rPr>
        <w:t xml:space="preserve">   - 專注於可交易和非投資級企業信貸市場</w:t>
      </w:r>
    </w:p>
    <w:p>
      <w:pPr>
        <w:pStyle w:val="ListNumber"/>
      </w:pPr>
      <w:r>
        <w:rPr>
          <w:rFonts w:ascii="Arial" w:hAnsi="Arial"/>
          <w:b/>
          <w:sz w:val="24"/>
        </w:rPr>
        <w:t>直接貸款 (Direct Lending Group)</w:t>
      </w:r>
    </w:p>
    <w:p>
      <w:pPr/>
      <w:r>
        <w:rPr>
          <w:rFonts w:ascii="Arial" w:hAnsi="Arial"/>
          <w:sz w:val="24"/>
        </w:rPr>
        <w:t xml:space="preserve">   - 為中小型企業提供融資解決方案</w:t>
      </w:r>
    </w:p>
    <w:p>
      <w:pPr/>
      <w:r>
        <w:rPr>
          <w:rFonts w:ascii="Arial" w:hAnsi="Arial"/>
          <w:sz w:val="24"/>
        </w:rPr>
        <w:t xml:space="preserve">   - 私募信貸的核心增長引擎</w:t>
      </w:r>
    </w:p>
    <w:p>
      <w:pPr/>
      <w:r>
        <w:rPr>
          <w:rFonts w:ascii="Arial" w:hAnsi="Arial"/>
          <w:sz w:val="24"/>
        </w:rPr>
        <w:t xml:space="preserve">   - 投資規模: $100萬至$4億美元</w:t>
      </w:r>
    </w:p>
    <w:p>
      <w:pPr/>
      <w:r>
        <w:rPr>
          <w:rFonts w:ascii="Arial" w:hAnsi="Arial"/>
          <w:sz w:val="24"/>
        </w:rPr>
        <w:t xml:space="preserve">   - 目標公司EBITDA: $1,000萬至$2.5億美元</w:t>
      </w:r>
    </w:p>
    <w:p>
      <w:pPr>
        <w:pStyle w:val="ListNumber"/>
      </w:pPr>
      <w:r>
        <w:rPr>
          <w:rFonts w:ascii="Arial" w:hAnsi="Arial"/>
          <w:b/>
          <w:sz w:val="24"/>
        </w:rPr>
        <w:t>私募股權 (Private Equity Group)</w:t>
      </w:r>
    </w:p>
    <w:p>
      <w:pPr/>
      <w:r>
        <w:rPr>
          <w:rFonts w:ascii="Arial" w:hAnsi="Arial"/>
          <w:sz w:val="24"/>
        </w:rPr>
        <w:t xml:space="preserve">   - 專注於資本不足公司的多數控股或共同控股投資</w:t>
      </w:r>
    </w:p>
    <w:p>
      <w:pPr/>
      <w:r>
        <w:rPr>
          <w:rFonts w:ascii="Arial" w:hAnsi="Arial"/>
          <w:sz w:val="24"/>
        </w:rPr>
        <w:t xml:space="preserve">   - 投資於成長型和價值創造機會</w:t>
      </w:r>
    </w:p>
    <w:p>
      <w:pPr>
        <w:pStyle w:val="ListNumber"/>
      </w:pPr>
      <w:r>
        <w:rPr>
          <w:rFonts w:ascii="Arial" w:hAnsi="Arial"/>
          <w:b/>
          <w:sz w:val="24"/>
        </w:rPr>
        <w:t>房地產 (Real Estate Group)</w:t>
      </w:r>
    </w:p>
    <w:p>
      <w:pPr/>
      <w:r>
        <w:rPr>
          <w:rFonts w:ascii="Arial" w:hAnsi="Arial"/>
          <w:sz w:val="24"/>
        </w:rPr>
        <w:t xml:space="preserve">   - 投資於新開發項目和資產重新定位</w:t>
      </w:r>
    </w:p>
    <w:p>
      <w:pPr/>
      <w:r>
        <w:rPr>
          <w:rFonts w:ascii="Arial" w:hAnsi="Arial"/>
          <w:sz w:val="24"/>
        </w:rPr>
        <w:t xml:space="preserve">   - 專注於控股或多數控股投資</w:t>
      </w:r>
    </w:p>
    <w:p>
      <w:pPr/>
      <w:r>
        <w:rPr>
          <w:rFonts w:ascii="Arial" w:hAnsi="Arial"/>
          <w:sz w:val="24"/>
        </w:rPr>
        <w:t xml:space="preserve">   - 為商業房地產中端市場業主和營運商提供自發融資機會</w:t>
      </w:r>
    </w:p>
    <w:p>
      <w:pPr>
        <w:pStyle w:val="ListNumber"/>
      </w:pPr>
      <w:r>
        <w:rPr>
          <w:rFonts w:ascii="Arial" w:hAnsi="Arial"/>
          <w:b/>
          <w:sz w:val="24"/>
        </w:rPr>
        <w:t>基礎設施 (Infrastructure)</w:t>
      </w:r>
    </w:p>
    <w:p>
      <w:pPr/>
      <w:r>
        <w:rPr>
          <w:rFonts w:ascii="Arial" w:hAnsi="Arial"/>
          <w:sz w:val="24"/>
        </w:rPr>
        <w:t xml:space="preserve">   - 長期資本投資於基礎設施資產</w:t>
      </w:r>
    </w:p>
    <w:p>
      <w:pPr/>
      <w:r>
        <w:rPr>
          <w:rFonts w:ascii="Arial" w:hAnsi="Arial"/>
          <w:sz w:val="24"/>
        </w:rPr>
        <w:t xml:space="preserve">   - 受益於全球基建需求增長</w:t>
      </w:r>
    </w:p>
    <w:p>
      <w:r>
        <w:t>__________________________________________________</w:t>
      </w:r>
    </w:p>
    <w:p>
      <w:pPr>
        <w:pStyle w:val="Heading2"/>
      </w:pPr>
      <w:r>
        <w:t>二、財務表現分析 (FY2021-2025)</w:t>
      </w:r>
    </w:p>
    <w:p>
      <w:pPr>
        <w:pStyle w:val="Heading3"/>
      </w:pPr>
      <w:r>
        <w:t>2.1 營收與獲利能力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財務年度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營收 (億美元)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YoY增長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毛利率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營業利潤率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淨利率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EPS (稀釋)</w:t>
            </w:r>
          </w:p>
        </w:tc>
      </w:tr>
      <w:tr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**2025**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**64.70**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**+66.6%**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**74.8%**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**27.2%**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**8.2%**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**$1.96**</w:t>
            </w:r>
          </w:p>
        </w:tc>
      </w:tr>
      <w:tr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2024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38.85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+6.9%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55.4%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24.4%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11.9%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$2.07</w:t>
            </w:r>
          </w:p>
        </w:tc>
      </w:tr>
      <w:tr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2023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36.32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+18.9%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59.1%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23.0%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13.1%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$2.42</w:t>
            </w:r>
          </w:p>
        </w:tc>
      </w:tr>
      <w:tr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2022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30.55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-27.5%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51.0%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10.0%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5.5%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$0.87</w:t>
            </w:r>
          </w:p>
        </w:tc>
      </w:tr>
      <w:tr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2021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42.12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+138.8%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72.4%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19.0%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9.7%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$2.15</w:t>
            </w:r>
          </w:p>
        </w:tc>
      </w:tr>
    </w:tbl>
    <w:p>
      <w:pPr/>
      <w:r>
        <w:rPr>
          <w:rFonts w:ascii="Arial" w:hAnsi="Arial"/>
          <w:b/>
          <w:sz w:val="24"/>
        </w:rPr>
        <w:t>關鍵觀察:</w:t>
      </w:r>
    </w:p>
    <w:p>
      <w:pPr>
        <w:pStyle w:val="ListBullet"/>
      </w:pPr>
      <w:r>
        <w:rPr>
          <w:rFonts w:ascii="Arial" w:hAnsi="Arial"/>
          <w:b/>
          <w:sz w:val="24"/>
        </w:rPr>
        <w:t>2025年營收爆發性增長:</w:t>
      </w:r>
      <w:r>
        <w:rPr>
          <w:rFonts w:ascii="Arial" w:hAnsi="Arial"/>
          <w:sz w:val="24"/>
        </w:rPr>
        <w:t xml:space="preserve"> 從$38.85億躍升至$64.70億(+66.6%),為近年最強勁表現</w:t>
      </w:r>
    </w:p>
    <w:p>
      <w:pPr>
        <w:pStyle w:val="ListBullet"/>
      </w:pPr>
      <w:r>
        <w:rPr>
          <w:rFonts w:ascii="Arial" w:hAnsi="Arial"/>
          <w:b/>
          <w:sz w:val="24"/>
        </w:rPr>
        <w:t>毛利率大幅改善:</w:t>
      </w:r>
      <w:r>
        <w:rPr>
          <w:rFonts w:ascii="Arial" w:hAnsi="Arial"/>
          <w:sz w:val="24"/>
        </w:rPr>
        <w:t xml:space="preserve"> 2025年達到74.8%,顯示高附加值業務占比提升</w:t>
      </w:r>
    </w:p>
    <w:p>
      <w:pPr>
        <w:pStyle w:val="ListBullet"/>
      </w:pPr>
      <w:r>
        <w:rPr>
          <w:rFonts w:ascii="Arial" w:hAnsi="Arial"/>
          <w:b/>
          <w:sz w:val="24"/>
        </w:rPr>
        <w:t>淨利率波動:</w:t>
      </w:r>
      <w:r>
        <w:rPr>
          <w:rFonts w:ascii="Arial" w:hAnsi="Arial"/>
          <w:sz w:val="24"/>
        </w:rPr>
        <w:t xml:space="preserve"> 2025年降至8.2%,主要因利息支出大幅增加($7.67億)</w:t>
      </w:r>
    </w:p>
    <w:p>
      <w:pPr>
        <w:pStyle w:val="ListBullet"/>
      </w:pPr>
      <w:r>
        <w:rPr>
          <w:rFonts w:ascii="Arial" w:hAnsi="Arial"/>
          <w:b/>
          <w:sz w:val="24"/>
        </w:rPr>
        <w:t>EPS下降:</w:t>
      </w:r>
      <w:r>
        <w:rPr>
          <w:rFonts w:ascii="Arial" w:hAnsi="Arial"/>
          <w:sz w:val="24"/>
        </w:rPr>
        <w:t xml:space="preserve"> 從2024年$2.07降至2025年$1.96(-5.3%),主要因股本稀釋(股份數增長9.7%)</w:t>
      </w:r>
    </w:p>
    <w:p>
      <w:pPr>
        <w:pStyle w:val="Heading3"/>
      </w:pPr>
      <w:r>
        <w:t>2.2 資產負債表健康度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指標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2024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2023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**總資產**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N/A*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$248.8億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$247.3億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**現金及約當現金**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$15.0億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$27.4億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$15.0億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**長期投資**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$173.8億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$192.3億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**總負債**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-$86.3億*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$180.6億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$202.6億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**股東權益**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$86.3億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$35.4億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$18.9億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**淨債務**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-$15.0億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$104.1億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$142.6億</w:t>
            </w:r>
          </w:p>
        </w:tc>
      </w:tr>
    </w:tbl>
    <w:p>
      <w:pPr/>
      <w:r>
        <w:rPr>
          <w:rFonts w:ascii="Arial" w:hAnsi="Arial"/>
          <w:i/>
          <w:sz w:val="24"/>
        </w:rPr>
      </w:r>
      <w:r>
        <w:rPr>
          <w:rFonts w:ascii="Arial" w:hAnsi="Arial"/>
          <w:sz w:val="24"/>
        </w:rPr>
        <w:t>註: 2025年資產負債表數據出現異常,可能為財報重分類或會計調整</w:t>
      </w:r>
    </w:p>
    <w:p>
      <w:pPr/>
      <w:r>
        <w:rPr>
          <w:rFonts w:ascii="Arial" w:hAnsi="Arial"/>
          <w:b/>
          <w:sz w:val="24"/>
        </w:rPr>
        <w:t>資本結構分析:</w:t>
      </w:r>
    </w:p>
    <w:p>
      <w:pPr>
        <w:pStyle w:val="ListBullet"/>
      </w:pPr>
      <w:r>
        <w:rPr>
          <w:rFonts w:ascii="Arial" w:hAnsi="Arial"/>
          <w:b/>
          <w:sz w:val="24"/>
        </w:rPr>
        <w:t>股東權益大幅增長:</w:t>
      </w:r>
      <w:r>
        <w:rPr>
          <w:rFonts w:ascii="Arial" w:hAnsi="Arial"/>
          <w:sz w:val="24"/>
        </w:rPr>
        <w:t xml:space="preserve"> 從2024年$35.4億激增至2025年$86.3億(+143.8%)</w:t>
      </w:r>
    </w:p>
    <w:p>
      <w:pPr>
        <w:pStyle w:val="ListBullet"/>
      </w:pPr>
      <w:r>
        <w:rPr>
          <w:rFonts w:ascii="Arial" w:hAnsi="Arial"/>
          <w:b/>
          <w:sz w:val="24"/>
        </w:rPr>
        <w:t>優先股發行:</w:t>
      </w:r>
      <w:r>
        <w:rPr>
          <w:rFonts w:ascii="Arial" w:hAnsi="Arial"/>
          <w:sz w:val="24"/>
        </w:rPr>
        <w:t xml:space="preserve"> 2025年優先股達$14.6億,用於資本化和降低債務</w:t>
      </w:r>
    </w:p>
    <w:p>
      <w:pPr>
        <w:pStyle w:val="ListBullet"/>
      </w:pPr>
      <w:r>
        <w:rPr>
          <w:rFonts w:ascii="Arial" w:hAnsi="Arial"/>
          <w:b/>
          <w:sz w:val="24"/>
        </w:rPr>
        <w:t>債務大幅改善:</w:t>
      </w:r>
      <w:r>
        <w:rPr>
          <w:rFonts w:ascii="Arial" w:hAnsi="Arial"/>
          <w:sz w:val="24"/>
        </w:rPr>
        <w:t xml:space="preserve"> 淨債務從2024年$104.1億降至-$15.0億(淨現金狀態)</w:t>
      </w:r>
    </w:p>
    <w:p>
      <w:pPr>
        <w:pStyle w:val="ListBullet"/>
      </w:pPr>
      <w:r>
        <w:rPr>
          <w:rFonts w:ascii="Arial" w:hAnsi="Arial"/>
          <w:b/>
          <w:sz w:val="24"/>
        </w:rPr>
        <w:t>槓桿率下降:</w:t>
      </w:r>
      <w:r>
        <w:rPr>
          <w:rFonts w:ascii="Arial" w:hAnsi="Arial"/>
          <w:sz w:val="24"/>
        </w:rPr>
        <w:t xml:space="preserve"> 2024年債務/權益比率為3.71倍,2025年降至0</w:t>
      </w:r>
    </w:p>
    <w:p>
      <w:pPr>
        <w:pStyle w:val="Heading3"/>
      </w:pPr>
      <w:r>
        <w:t>2.3 現金流量表現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財務年度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營運現金流 (億美元)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資本支出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自由現金流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FCF Yield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**2025**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**0.0***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$0.0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$0.0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N/A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2024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27.9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-0.92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27.0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7.7%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2023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-2.3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-0.67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-3.0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-1.4%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2022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-7.3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-0.36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-7.7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-6.4%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2021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-26.0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-0.27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-26.2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-19.7%</w:t>
            </w:r>
          </w:p>
        </w:tc>
      </w:tr>
    </w:tbl>
    <w:p>
      <w:pPr/>
      <w:r>
        <w:rPr>
          <w:rFonts w:ascii="Arial" w:hAnsi="Arial"/>
          <w:i/>
          <w:sz w:val="24"/>
        </w:rPr>
      </w:r>
      <w:r>
        <w:rPr>
          <w:rFonts w:ascii="Arial" w:hAnsi="Arial"/>
          <w:sz w:val="24"/>
        </w:rPr>
        <w:t>註: 2025年現金流數據異常,需進一步財報確認</w:t>
      </w:r>
    </w:p>
    <w:p>
      <w:pPr/>
      <w:r>
        <w:rPr>
          <w:rFonts w:ascii="Arial" w:hAnsi="Arial"/>
          <w:b/>
          <w:sz w:val="24"/>
        </w:rPr>
        <w:t>現金流分析:</w:t>
      </w:r>
    </w:p>
    <w:p>
      <w:pPr>
        <w:pStyle w:val="ListBullet"/>
      </w:pPr>
      <w:r>
        <w:rPr>
          <w:rFonts w:ascii="Arial" w:hAnsi="Arial"/>
          <w:b/>
          <w:sz w:val="24"/>
        </w:rPr>
        <w:t>2024年現金流強勁復甦:</w:t>
      </w:r>
      <w:r>
        <w:rPr>
          <w:rFonts w:ascii="Arial" w:hAnsi="Arial"/>
          <w:sz w:val="24"/>
        </w:rPr>
        <w:t xml:space="preserve"> 營運現金流達$27.9億,FCF達$27.0億</w:t>
      </w:r>
    </w:p>
    <w:p>
      <w:pPr>
        <w:pStyle w:val="ListBullet"/>
      </w:pPr>
      <w:r>
        <w:rPr>
          <w:rFonts w:ascii="Arial" w:hAnsi="Arial"/>
          <w:b/>
          <w:sz w:val="24"/>
        </w:rPr>
        <w:t>資本支出維持低水平:</w:t>
      </w:r>
      <w:r>
        <w:rPr>
          <w:rFonts w:ascii="Arial" w:hAnsi="Arial"/>
          <w:sz w:val="24"/>
        </w:rPr>
        <w:t xml:space="preserve"> 資產管理業務屬輕資產模式,Capex佔營收&lt;3%</w:t>
      </w:r>
    </w:p>
    <w:p>
      <w:pPr>
        <w:pStyle w:val="ListBullet"/>
      </w:pPr>
      <w:r>
        <w:rPr>
          <w:rFonts w:ascii="Arial" w:hAnsi="Arial"/>
          <w:b/>
          <w:sz w:val="24"/>
        </w:rPr>
        <w:t>2021-2023年負現金流:</w:t>
      </w:r>
      <w:r>
        <w:rPr>
          <w:rFonts w:ascii="Arial" w:hAnsi="Arial"/>
          <w:sz w:val="24"/>
        </w:rPr>
        <w:t xml:space="preserve"> 主要因投資活動大幅增加和業績費收入波動</w:t>
      </w:r>
    </w:p>
    <w:p>
      <w:pPr>
        <w:pStyle w:val="ListBullet"/>
      </w:pPr>
      <w:r>
        <w:rPr>
          <w:rFonts w:ascii="Arial" w:hAnsi="Arial"/>
          <w:b/>
          <w:sz w:val="24"/>
        </w:rPr>
        <w:t>股息支付:</w:t>
      </w:r>
      <w:r>
        <w:rPr>
          <w:rFonts w:ascii="Arial" w:hAnsi="Arial"/>
          <w:sz w:val="24"/>
        </w:rPr>
        <w:t xml:space="preserve"> 2024年現金股息$13.1億,派息比率2.83倍(超過淨利)</w:t>
      </w:r>
    </w:p>
    <w:p>
      <w:r>
        <w:t>__________________________________________________</w:t>
      </w:r>
    </w:p>
    <w:p>
      <w:pPr>
        <w:pStyle w:val="Heading2"/>
      </w:pPr>
      <w:r>
        <w:t>三、資產管理規模 (AUM) 與營收結構</w:t>
      </w:r>
    </w:p>
    <w:p>
      <w:pPr>
        <w:pStyle w:val="Heading3"/>
      </w:pPr>
      <w:r>
        <w:t>3.1 AUM 增長軌跡 (估算)</w:t>
      </w:r>
    </w:p>
    <w:p>
      <w:pPr/>
      <w:r>
        <w:rPr>
          <w:rFonts w:ascii="Arial" w:hAnsi="Arial"/>
          <w:sz w:val="24"/>
        </w:rPr>
        <w:t>基於營收增長和行業趨勢推估: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年度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估算AUM (億美元)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YoY增長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管理費率 (估)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**2025E**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**~4,500-5,000**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**+25-30%**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**~1.3-1.4%**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2024E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~3,500-4,000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+15-20%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~1.1%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2023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~3,000-3,500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+10-15%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~1.0-1.2%</w:t>
            </w:r>
          </w:p>
        </w:tc>
      </w:tr>
    </w:tbl>
    <w:p>
      <w:pPr/>
      <w:r>
        <w:rPr>
          <w:rFonts w:ascii="Arial" w:hAnsi="Arial"/>
          <w:i/>
          <w:sz w:val="24"/>
        </w:rPr>
      </w:r>
      <w:r>
        <w:rPr>
          <w:rFonts w:ascii="Arial" w:hAnsi="Arial"/>
          <w:sz w:val="24"/>
        </w:rPr>
        <w:t>註: 由於缺乏官方AUM披露,此為基於營收和同業比較的保守估算</w:t>
      </w:r>
    </w:p>
    <w:p>
      <w:pPr>
        <w:pStyle w:val="Heading3"/>
      </w:pPr>
      <w:r>
        <w:t>3.2 營收細分 (基於業務邏輯推估)</w:t>
      </w:r>
    </w:p>
    <w:p>
      <w:pPr/>
      <w:r>
        <w:rPr>
          <w:rFonts w:ascii="Arial" w:hAnsi="Arial"/>
          <w:b/>
          <w:sz w:val="24"/>
        </w:rPr>
        <w:t>2025年營收結構 (估算):</w:t>
      </w:r>
    </w:p>
    <w:p>
      <w:pPr>
        <w:pStyle w:val="ListNumber"/>
      </w:pPr>
      <w:r>
        <w:rPr>
          <w:rFonts w:ascii="Arial" w:hAnsi="Arial"/>
          <w:b/>
          <w:sz w:val="24"/>
        </w:rPr>
        <w:t>管理費收入 (Management Fees):</w:t>
      </w:r>
      <w:r>
        <w:rPr>
          <w:rFonts w:ascii="Arial" w:hAnsi="Arial"/>
          <w:sz w:val="24"/>
        </w:rPr>
        <w:t xml:space="preserve"> ~$45-50億 (70-75%)</w:t>
      </w:r>
    </w:p>
    <w:p>
      <w:pPr/>
      <w:r>
        <w:rPr>
          <w:rFonts w:ascii="Arial" w:hAnsi="Arial"/>
          <w:sz w:val="24"/>
        </w:rPr>
        <w:t xml:space="preserve">   - 信貸業務: ~$20-25億</w:t>
      </w:r>
    </w:p>
    <w:p>
      <w:pPr/>
      <w:r>
        <w:rPr>
          <w:rFonts w:ascii="Arial" w:hAnsi="Arial"/>
          <w:sz w:val="24"/>
        </w:rPr>
        <w:t xml:space="preserve">   - 直接貸款: ~$15-18億</w:t>
      </w:r>
    </w:p>
    <w:p>
      <w:pPr/>
      <w:r>
        <w:rPr>
          <w:rFonts w:ascii="Arial" w:hAnsi="Arial"/>
          <w:sz w:val="24"/>
        </w:rPr>
        <w:t xml:space="preserve">   - 私募股權: ~$6-8億</w:t>
      </w:r>
    </w:p>
    <w:p>
      <w:pPr/>
      <w:r>
        <w:rPr>
          <w:rFonts w:ascii="Arial" w:hAnsi="Arial"/>
          <w:sz w:val="24"/>
        </w:rPr>
        <w:t xml:space="preserve">   - 房地產: ~$4-6億</w:t>
      </w:r>
    </w:p>
    <w:p>
      <w:pPr/>
      <w:r>
        <w:rPr>
          <w:rFonts w:ascii="Arial" w:hAnsi="Arial"/>
          <w:sz w:val="24"/>
        </w:rPr>
        <w:t xml:space="preserve">   - 基礎設施: ~$2-3億</w:t>
      </w:r>
    </w:p>
    <w:p>
      <w:pPr>
        <w:pStyle w:val="ListNumber"/>
      </w:pPr>
      <w:r>
        <w:rPr>
          <w:rFonts w:ascii="Arial" w:hAnsi="Arial"/>
          <w:b/>
          <w:sz w:val="24"/>
        </w:rPr>
        <w:t>業績獎勵費 (Performance Fees / Realized Income):</w:t>
      </w:r>
      <w:r>
        <w:rPr>
          <w:rFonts w:ascii="Arial" w:hAnsi="Arial"/>
          <w:sz w:val="24"/>
        </w:rPr>
        <w:t xml:space="preserve"> ~$10-12億 (15-20%)</w:t>
      </w:r>
    </w:p>
    <w:p>
      <w:pPr/>
      <w:r>
        <w:rPr>
          <w:rFonts w:ascii="Arial" w:hAnsi="Arial"/>
          <w:sz w:val="24"/>
        </w:rPr>
        <w:t xml:space="preserve">   - 主要來自私募股權和機會型基金退出</w:t>
      </w:r>
    </w:p>
    <w:p>
      <w:pPr>
        <w:pStyle w:val="ListNumber"/>
      </w:pPr>
      <w:r>
        <w:rPr>
          <w:rFonts w:ascii="Arial" w:hAnsi="Arial"/>
          <w:b/>
          <w:sz w:val="24"/>
        </w:rPr>
        <w:t>其他收入 (Investment Income):</w:t>
      </w:r>
      <w:r>
        <w:rPr>
          <w:rFonts w:ascii="Arial" w:hAnsi="Arial"/>
          <w:sz w:val="24"/>
        </w:rPr>
        <w:t xml:space="preserve"> ~$5-7億 (10-12%)</w:t>
      </w:r>
    </w:p>
    <w:p>
      <w:pPr/>
      <w:r>
        <w:rPr>
          <w:rFonts w:ascii="Arial" w:hAnsi="Arial"/>
          <w:sz w:val="24"/>
        </w:rPr>
        <w:t xml:space="preserve">   - 自有資本投資收益</w:t>
      </w:r>
    </w:p>
    <w:p>
      <w:pPr/>
      <w:r>
        <w:rPr>
          <w:rFonts w:ascii="Arial" w:hAnsi="Arial"/>
          <w:sz w:val="24"/>
        </w:rPr>
        <w:t xml:space="preserve">   - 利息收入</w:t>
      </w:r>
    </w:p>
    <w:p>
      <w:pPr/>
      <w:r>
        <w:rPr>
          <w:rFonts w:ascii="Arial" w:hAnsi="Arial"/>
          <w:b/>
          <w:sz w:val="24"/>
        </w:rPr>
        <w:t>關鍵驅動因素:</w:t>
      </w:r>
    </w:p>
    <w:p>
      <w:pPr>
        <w:pStyle w:val="ListBullet"/>
      </w:pPr>
      <w:r>
        <w:rPr>
          <w:rFonts w:ascii="Arial" w:hAnsi="Arial"/>
          <w:b/>
          <w:sz w:val="24"/>
        </w:rPr>
        <w:t>直接貸款爆發性增長:</w:t>
      </w:r>
      <w:r>
        <w:rPr>
          <w:rFonts w:ascii="Arial" w:hAnsi="Arial"/>
          <w:sz w:val="24"/>
        </w:rPr>
        <w:t xml:space="preserve"> 受益於私募信貸市場蓬勃發展</w:t>
      </w:r>
    </w:p>
    <w:p>
      <w:pPr>
        <w:pStyle w:val="ListBullet"/>
      </w:pPr>
      <w:r>
        <w:rPr>
          <w:rFonts w:ascii="Arial" w:hAnsi="Arial"/>
          <w:b/>
          <w:sz w:val="24"/>
        </w:rPr>
        <w:t>信貸業務持續擴張:</w:t>
      </w:r>
      <w:r>
        <w:rPr>
          <w:rFonts w:ascii="Arial" w:hAnsi="Arial"/>
          <w:sz w:val="24"/>
        </w:rPr>
        <w:t xml:space="preserve"> 高收益債券和槓桿貸款市場復甦</w:t>
      </w:r>
    </w:p>
    <w:p>
      <w:pPr>
        <w:pStyle w:val="ListBullet"/>
      </w:pPr>
      <w:r>
        <w:rPr>
          <w:rFonts w:ascii="Arial" w:hAnsi="Arial"/>
          <w:b/>
          <w:sz w:val="24"/>
        </w:rPr>
        <w:t>管理費收入穩定性提升:</w:t>
      </w:r>
      <w:r>
        <w:rPr>
          <w:rFonts w:ascii="Arial" w:hAnsi="Arial"/>
          <w:sz w:val="24"/>
        </w:rPr>
        <w:t xml:space="preserve"> FRE (Fee-Related Earnings) 成為核心盈利來源</w:t>
      </w:r>
    </w:p>
    <w:p>
      <w:r>
        <w:t>__________________________________________________</w:t>
      </w:r>
    </w:p>
    <w:p>
      <w:pPr>
        <w:pStyle w:val="Heading2"/>
      </w:pPr>
      <w:r>
        <w:t>四、資本支出與資金部署</w:t>
      </w:r>
    </w:p>
    <w:p>
      <w:pPr>
        <w:pStyle w:val="Heading3"/>
      </w:pPr>
      <w:r>
        <w:t>4.1 資本支出策略</w:t>
      </w:r>
    </w:p>
    <w:p>
      <w:pPr/>
      <w:r>
        <w:rPr>
          <w:rFonts w:ascii="Arial" w:hAnsi="Arial"/>
          <w:b/>
          <w:sz w:val="24"/>
        </w:rPr>
        <w:t>2024年實際資本支出:</w:t>
      </w:r>
      <w:r>
        <w:rPr>
          <w:rFonts w:ascii="Arial" w:hAnsi="Arial"/>
          <w:sz w:val="24"/>
        </w:rPr>
        <w:t xml:space="preserve"> $9,150萬美元 (佔營收2.4%)</w:t>
      </w:r>
    </w:p>
    <w:p>
      <w:pPr/>
      <w:r>
        <w:rPr>
          <w:rFonts w:ascii="Arial" w:hAnsi="Arial"/>
          <w:b/>
          <w:sz w:val="24"/>
        </w:rPr>
        <w:t>主要用途:</w:t>
      </w:r>
    </w:p>
    <w:p>
      <w:pPr>
        <w:pStyle w:val="ListNumber"/>
      </w:pPr>
      <w:r>
        <w:rPr>
          <w:rFonts w:ascii="Arial" w:hAnsi="Arial"/>
          <w:b/>
          <w:sz w:val="24"/>
        </w:rPr>
        <w:t>科技基礎設施:</w:t>
      </w:r>
      <w:r>
        <w:rPr>
          <w:rFonts w:ascii="Arial" w:hAnsi="Arial"/>
          <w:sz w:val="24"/>
        </w:rPr>
        <w:t xml:space="preserve"> 投資平台、數據分析和風險管理系統</w:t>
      </w:r>
    </w:p>
    <w:p>
      <w:pPr>
        <w:pStyle w:val="ListNumber"/>
      </w:pPr>
      <w:r>
        <w:rPr>
          <w:rFonts w:ascii="Arial" w:hAnsi="Arial"/>
          <w:b/>
          <w:sz w:val="24"/>
        </w:rPr>
        <w:t>辦公空間擴建:</w:t>
      </w:r>
      <w:r>
        <w:rPr>
          <w:rFonts w:ascii="Arial" w:hAnsi="Arial"/>
          <w:sz w:val="24"/>
        </w:rPr>
        <w:t xml:space="preserve"> 全球辦公網絡擴張</w:t>
      </w:r>
    </w:p>
    <w:p>
      <w:pPr>
        <w:pStyle w:val="ListNumber"/>
      </w:pPr>
      <w:r>
        <w:rPr>
          <w:rFonts w:ascii="Arial" w:hAnsi="Arial"/>
          <w:b/>
          <w:sz w:val="24"/>
        </w:rPr>
        <w:t>人才招募:</w:t>
      </w:r>
      <w:r>
        <w:rPr>
          <w:rFonts w:ascii="Arial" w:hAnsi="Arial"/>
          <w:sz w:val="24"/>
        </w:rPr>
        <w:t xml:space="preserve"> 高端投資專業人才和中後台支援</w:t>
      </w:r>
    </w:p>
    <w:p>
      <w:pPr/>
      <w:r>
        <w:rPr>
          <w:rFonts w:ascii="Arial" w:hAnsi="Arial"/>
          <w:b/>
          <w:sz w:val="24"/>
        </w:rPr>
        <w:t>特點:</w:t>
      </w:r>
    </w:p>
    <w:p>
      <w:pPr>
        <w:pStyle w:val="ListBullet"/>
      </w:pPr>
      <w:r>
        <w:rPr>
          <w:rFonts w:ascii="Arial" w:hAnsi="Arial"/>
          <w:b/>
          <w:sz w:val="24"/>
        </w:rPr>
        <w:t>輕資產模式:</w:t>
      </w:r>
      <w:r>
        <w:rPr>
          <w:rFonts w:ascii="Arial" w:hAnsi="Arial"/>
          <w:sz w:val="24"/>
        </w:rPr>
        <w:t xml:space="preserve"> Capex佔營收比例極低(&lt;3%)</w:t>
      </w:r>
    </w:p>
    <w:p>
      <w:pPr>
        <w:pStyle w:val="ListBullet"/>
      </w:pPr>
      <w:r>
        <w:rPr>
          <w:rFonts w:ascii="Arial" w:hAnsi="Arial"/>
          <w:b/>
          <w:sz w:val="24"/>
        </w:rPr>
        <w:t>高ROI:</w:t>
      </w:r>
      <w:r>
        <w:rPr>
          <w:rFonts w:ascii="Arial" w:hAnsi="Arial"/>
          <w:sz w:val="24"/>
        </w:rPr>
        <w:t xml:space="preserve"> 人力資本投資回報率遠高於實體資產</w:t>
      </w:r>
    </w:p>
    <w:p>
      <w:pPr>
        <w:pStyle w:val="Heading3"/>
      </w:pPr>
      <w:r>
        <w:t>4.2 資金部署 (Fund Deployment)</w:t>
      </w:r>
    </w:p>
    <w:p>
      <w:pPr/>
      <w:r>
        <w:rPr>
          <w:rFonts w:ascii="Arial" w:hAnsi="Arial"/>
          <w:b/>
          <w:sz w:val="24"/>
        </w:rPr>
        <w:t>2024-2025年部署特點:</w:t>
      </w:r>
    </w:p>
    <w:p>
      <w:pPr>
        <w:pStyle w:val="ListNumber"/>
      </w:pPr>
      <w:r>
        <w:rPr>
          <w:rFonts w:ascii="Arial" w:hAnsi="Arial"/>
          <w:b/>
          <w:sz w:val="24"/>
        </w:rPr>
        <w:t>私募信貸快速部署:</w:t>
      </w:r>
    </w:p>
    <w:p>
      <w:pPr/>
      <w:r>
        <w:rPr>
          <w:rFonts w:ascii="Arial" w:hAnsi="Arial"/>
          <w:sz w:val="24"/>
        </w:rPr>
        <w:t xml:space="preserve">   - 直接貸款基金募資強勁</w:t>
      </w:r>
    </w:p>
    <w:p>
      <w:pPr/>
      <w:r>
        <w:rPr>
          <w:rFonts w:ascii="Arial" w:hAnsi="Arial"/>
          <w:sz w:val="24"/>
        </w:rPr>
        <w:t xml:space="preserve">   - 企業融資需求旺盛,特別是中端市場</w:t>
      </w:r>
    </w:p>
    <w:p>
      <w:pPr>
        <w:pStyle w:val="ListNumber"/>
      </w:pPr>
      <w:r>
        <w:rPr>
          <w:rFonts w:ascii="Arial" w:hAnsi="Arial"/>
          <w:b/>
          <w:sz w:val="24"/>
        </w:rPr>
        <w:t>基礎設施投資加速:</w:t>
      </w:r>
    </w:p>
    <w:p>
      <w:pPr/>
      <w:r>
        <w:rPr>
          <w:rFonts w:ascii="Arial" w:hAnsi="Arial"/>
          <w:sz w:val="24"/>
        </w:rPr>
        <w:t xml:space="preserve">   - 能源轉型、數據中心、物流等領域</w:t>
      </w:r>
    </w:p>
    <w:p>
      <w:pPr/>
      <w:r>
        <w:rPr>
          <w:rFonts w:ascii="Arial" w:hAnsi="Arial"/>
          <w:sz w:val="24"/>
        </w:rPr>
        <w:t xml:space="preserve">   - 長期鎖定資本,管理費穩定</w:t>
      </w:r>
    </w:p>
    <w:p>
      <w:pPr>
        <w:pStyle w:val="ListNumber"/>
      </w:pPr>
      <w:r>
        <w:rPr>
          <w:rFonts w:ascii="Arial" w:hAnsi="Arial"/>
          <w:b/>
          <w:sz w:val="24"/>
        </w:rPr>
        <w:t>房地產選擇性部署:</w:t>
      </w:r>
    </w:p>
    <w:p>
      <w:pPr/>
      <w:r>
        <w:rPr>
          <w:rFonts w:ascii="Arial" w:hAnsi="Arial"/>
          <w:sz w:val="24"/>
        </w:rPr>
        <w:t xml:space="preserve">   - 商業地產市場承壓,但機會型投資增加</w:t>
      </w:r>
    </w:p>
    <w:p>
      <w:pPr/>
      <w:r>
        <w:rPr>
          <w:rFonts w:ascii="Arial" w:hAnsi="Arial"/>
          <w:sz w:val="24"/>
        </w:rPr>
        <w:t xml:space="preserve">   - 多戶住宅、工業地產仍具吸引力</w:t>
      </w:r>
    </w:p>
    <w:p>
      <w:pPr>
        <w:pStyle w:val="ListNumber"/>
      </w:pPr>
      <w:r>
        <w:rPr>
          <w:rFonts w:ascii="Arial" w:hAnsi="Arial"/>
          <w:b/>
          <w:sz w:val="24"/>
        </w:rPr>
        <w:t>私募股權審慎投資:</w:t>
      </w:r>
    </w:p>
    <w:p>
      <w:pPr/>
      <w:r>
        <w:rPr>
          <w:rFonts w:ascii="Arial" w:hAnsi="Arial"/>
          <w:sz w:val="24"/>
        </w:rPr>
        <w:t xml:space="preserve">   - 高利率環境下估值壓力</w:t>
      </w:r>
    </w:p>
    <w:p>
      <w:pPr/>
      <w:r>
        <w:rPr>
          <w:rFonts w:ascii="Arial" w:hAnsi="Arial"/>
          <w:sz w:val="24"/>
        </w:rPr>
        <w:t xml:space="preserve">   - 專注於防禦性行業和現金流穩定企業</w:t>
      </w:r>
    </w:p>
    <w:p>
      <w:r>
        <w:t>__________________________________________________</w:t>
      </w:r>
    </w:p>
    <w:p>
      <w:pPr>
        <w:pStyle w:val="Heading2"/>
      </w:pPr>
      <w:r>
        <w:t>五、2026年重大動向與催化劑</w:t>
      </w:r>
    </w:p>
    <w:p>
      <w:pPr>
        <w:pStyle w:val="Heading3"/>
      </w:pPr>
      <w:r>
        <w:t>5.1 2026年戰略重點 (基於行業趨勢推估)</w:t>
      </w:r>
    </w:p>
    <w:p>
      <w:pPr/>
      <w:r>
        <w:rPr>
          <w:rFonts w:ascii="Arial" w:hAnsi="Arial"/>
          <w:b/>
          <w:sz w:val="24"/>
        </w:rPr>
        <w:t>官方計劃 (需財報會議確認):</w:t>
      </w:r>
    </w:p>
    <w:p>
      <w:pPr>
        <w:pStyle w:val="ListNumber"/>
      </w:pPr>
      <w:r>
        <w:rPr>
          <w:rFonts w:ascii="Arial" w:hAnsi="Arial"/>
          <w:b/>
          <w:sz w:val="24"/>
        </w:rPr>
        <w:t>AUM目標:</w:t>
      </w:r>
      <w:r>
        <w:rPr>
          <w:rFonts w:ascii="Arial" w:hAnsi="Arial"/>
          <w:sz w:val="24"/>
        </w:rPr>
        <w:t xml:space="preserve"> 突破$5,000億美元大關</w:t>
      </w:r>
    </w:p>
    <w:p>
      <w:pPr>
        <w:pStyle w:val="ListNumber"/>
      </w:pPr>
      <w:r>
        <w:rPr>
          <w:rFonts w:ascii="Arial" w:hAnsi="Arial"/>
          <w:b/>
          <w:sz w:val="24"/>
        </w:rPr>
        <w:t>新產品發佈:</w:t>
      </w:r>
    </w:p>
    <w:p>
      <w:pPr/>
      <w:r>
        <w:rPr>
          <w:rFonts w:ascii="Arial" w:hAnsi="Arial"/>
          <w:sz w:val="24"/>
        </w:rPr>
        <w:t xml:space="preserve">   - 私募信貸永續基金 (Evergreen Funds)</w:t>
      </w:r>
    </w:p>
    <w:p>
      <w:pPr/>
      <w:r>
        <w:rPr>
          <w:rFonts w:ascii="Arial" w:hAnsi="Arial"/>
          <w:sz w:val="24"/>
        </w:rPr>
        <w:t xml:space="preserve">   - 基礎設施氣候轉型基金</w:t>
      </w:r>
    </w:p>
    <w:p>
      <w:pPr/>
      <w:r>
        <w:rPr>
          <w:rFonts w:ascii="Arial" w:hAnsi="Arial"/>
          <w:sz w:val="24"/>
        </w:rPr>
        <w:t xml:space="preserve">   - 亞太區直接貸款基金擴張</w:t>
      </w:r>
    </w:p>
    <w:p>
      <w:pPr>
        <w:pStyle w:val="ListNumber"/>
      </w:pPr>
      <w:r>
        <w:rPr>
          <w:rFonts w:ascii="Arial" w:hAnsi="Arial"/>
          <w:b/>
          <w:sz w:val="24"/>
        </w:rPr>
        <w:t>併購整合:</w:t>
      </w:r>
    </w:p>
    <w:p>
      <w:pPr/>
      <w:r>
        <w:rPr>
          <w:rFonts w:ascii="Arial" w:hAnsi="Arial"/>
          <w:sz w:val="24"/>
        </w:rPr>
        <w:t xml:space="preserve">   - 潛在收購專業資產管理公司</w:t>
      </w:r>
    </w:p>
    <w:p>
      <w:pPr/>
      <w:r>
        <w:rPr>
          <w:rFonts w:ascii="Arial" w:hAnsi="Arial"/>
          <w:sz w:val="24"/>
        </w:rPr>
        <w:t xml:space="preserve">   - 擴大保險資產管理業務 (IACPM)</w:t>
      </w:r>
    </w:p>
    <w:p>
      <w:pPr>
        <w:pStyle w:val="ListNumber"/>
      </w:pPr>
      <w:r>
        <w:rPr>
          <w:rFonts w:ascii="Arial" w:hAnsi="Arial"/>
          <w:b/>
          <w:sz w:val="24"/>
        </w:rPr>
        <w:t>技術升級:</w:t>
      </w:r>
    </w:p>
    <w:p>
      <w:pPr/>
      <w:r>
        <w:rPr>
          <w:rFonts w:ascii="Arial" w:hAnsi="Arial"/>
          <w:sz w:val="24"/>
        </w:rPr>
        <w:t xml:space="preserve">   - AI驅動的信用風險評估平台</w:t>
      </w:r>
    </w:p>
    <w:p>
      <w:pPr/>
      <w:r>
        <w:rPr>
          <w:rFonts w:ascii="Arial" w:hAnsi="Arial"/>
          <w:sz w:val="24"/>
        </w:rPr>
        <w:t xml:space="preserve">   - ESG數據整合系統</w:t>
      </w:r>
    </w:p>
    <w:p>
      <w:pPr>
        <w:pStyle w:val="Heading3"/>
      </w:pPr>
      <w:r>
        <w:t>5.2 2026年關鍵催化劑時間表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時間點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事件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潛在影響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**Q1 2026**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Q4 2025 財報電話會議 (已於2月初完成)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公布2025全年AUM、2026指引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**2月-3月**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大型直接貸款基金完成募資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AUM增長、管理費收入提升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**Q2 2026**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Q1季報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觀察私募信貸部署速度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**5-6月**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潛在併購公告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業務規模擴張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**Q3 2026**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聯準會利率政策轉折點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影響募資和部署節奏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**Q4 2026**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私募股權基金退出高峰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業績費收入大幅增長</w:t>
            </w:r>
          </w:p>
        </w:tc>
      </w:tr>
    </w:tbl>
    <w:p>
      <w:pPr>
        <w:pStyle w:val="Heading3"/>
      </w:pPr>
      <w:r>
        <w:t>5.3 近期重大新聞 (2025-2026)</w:t>
      </w:r>
    </w:p>
    <w:p>
      <w:pPr/>
      <w:r>
        <w:rPr>
          <w:rFonts w:ascii="Arial" w:hAnsi="Arial"/>
          <w:b/>
          <w:sz w:val="24"/>
        </w:rPr>
        <w:t>已確認事項 (基於財報日期):</w:t>
      </w:r>
    </w:p>
    <w:p>
      <w:pPr>
        <w:pStyle w:val="ListNumber"/>
      </w:pPr>
      <w:r>
        <w:rPr>
          <w:rFonts w:ascii="Arial" w:hAnsi="Arial"/>
          <w:b/>
          <w:sz w:val="24"/>
        </w:rPr>
        <w:t>2025年2月:</w:t>
      </w:r>
      <w:r>
        <w:rPr>
          <w:rFonts w:ascii="Arial" w:hAnsi="Arial"/>
          <w:sz w:val="24"/>
        </w:rPr>
        <w:t xml:space="preserve"> 完成FY2025財報,營收大增66.6%</w:t>
      </w:r>
    </w:p>
    <w:p>
      <w:pPr>
        <w:pStyle w:val="ListNumber"/>
      </w:pPr>
      <w:r>
        <w:rPr>
          <w:rFonts w:ascii="Arial" w:hAnsi="Arial"/>
          <w:b/>
          <w:sz w:val="24"/>
        </w:rPr>
        <w:t>2025年優先股發行:</w:t>
      </w:r>
      <w:r>
        <w:rPr>
          <w:rFonts w:ascii="Arial" w:hAnsi="Arial"/>
          <w:sz w:val="24"/>
        </w:rPr>
        <w:t xml:space="preserve"> 發行$14.6億優先股,優化資本結構</w:t>
      </w:r>
    </w:p>
    <w:p>
      <w:pPr>
        <w:pStyle w:val="ListNumber"/>
      </w:pPr>
      <w:r>
        <w:rPr>
          <w:rFonts w:ascii="Arial" w:hAnsi="Arial"/>
          <w:b/>
          <w:sz w:val="24"/>
        </w:rPr>
        <w:t>股本擴張:</w:t>
      </w:r>
      <w:r>
        <w:rPr>
          <w:rFonts w:ascii="Arial" w:hAnsi="Arial"/>
          <w:sz w:val="24"/>
        </w:rPr>
        <w:t xml:space="preserve"> 流通股數增加9.7%,用於收購或股權激勵</w:t>
      </w:r>
    </w:p>
    <w:p>
      <w:pPr/>
      <w:r>
        <w:rPr>
          <w:rFonts w:ascii="Arial" w:hAnsi="Arial"/>
          <w:b/>
          <w:sz w:val="24"/>
        </w:rPr>
        <w:t>行業趨勢推估:</w:t>
      </w:r>
    </w:p>
    <w:p>
      <w:pPr>
        <w:pStyle w:val="ListNumber"/>
      </w:pPr>
      <w:r>
        <w:rPr>
          <w:rFonts w:ascii="Arial" w:hAnsi="Arial"/>
          <w:b/>
          <w:sz w:val="24"/>
        </w:rPr>
        <w:t>私募信貸市場持續繁榮:</w:t>
      </w:r>
      <w:r>
        <w:rPr>
          <w:rFonts w:ascii="Arial" w:hAnsi="Arial"/>
          <w:sz w:val="24"/>
        </w:rPr>
        <w:t xml:space="preserve"> 直接貸款替代銀行貸款趨勢加速</w:t>
      </w:r>
    </w:p>
    <w:p>
      <w:pPr>
        <w:pStyle w:val="ListNumber"/>
      </w:pPr>
      <w:r>
        <w:rPr>
          <w:rFonts w:ascii="Arial" w:hAnsi="Arial"/>
          <w:b/>
          <w:sz w:val="24"/>
        </w:rPr>
        <w:t>監管變化:</w:t>
      </w:r>
      <w:r>
        <w:rPr>
          <w:rFonts w:ascii="Arial" w:hAnsi="Arial"/>
          <w:sz w:val="24"/>
        </w:rPr>
        <w:t xml:space="preserve"> SEC對私募基金監管加強,但對大型機構影響有限</w:t>
      </w:r>
    </w:p>
    <w:p>
      <w:pPr>
        <w:pStyle w:val="ListNumber"/>
      </w:pPr>
      <w:r>
        <w:rPr>
          <w:rFonts w:ascii="Arial" w:hAnsi="Arial"/>
          <w:b/>
          <w:sz w:val="24"/>
        </w:rPr>
        <w:t>競爭格局:</w:t>
      </w:r>
      <w:r>
        <w:rPr>
          <w:rFonts w:ascii="Arial" w:hAnsi="Arial"/>
          <w:sz w:val="24"/>
        </w:rPr>
        <w:t xml:space="preserve"> 與 Blackstone、Apollo、KKR 競爭加劇</w:t>
      </w:r>
    </w:p>
    <w:p>
      <w:r>
        <w:t>__________________________________________________</w:t>
      </w:r>
    </w:p>
    <w:p>
      <w:pPr>
        <w:pStyle w:val="Heading2"/>
      </w:pPr>
      <w:r>
        <w:t>六、競爭分析</w:t>
      </w:r>
    </w:p>
    <w:p>
      <w:pPr>
        <w:pStyle w:val="Heading3"/>
      </w:pPr>
      <w:r>
        <w:t>6.1 主要競爭對手比較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公司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市值 (億美元)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2024營收 (億美元)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P/E倍數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AUM (億美元)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b/>
                <w:sz w:val="22"/>
              </w:rPr>
              <w:t>核心優勢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**Ares (ARES)**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**440**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**38.9 → 64.7**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**66.6x**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**~4,500E**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**直接貸款領導者**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Blackstone (BX)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1,600+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120+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35-40x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10,000+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規模最大、多元化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Apollo (APO)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800+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80+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25-30x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7,000+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信貸平台、保險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KKR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1,000+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90+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30-35x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6,000+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私募股權傳統強項</w:t>
            </w:r>
          </w:p>
        </w:tc>
      </w:tr>
      <w:tr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Carlyle (CG)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150+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35+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20-25x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4,000+</w:t>
            </w:r>
          </w:p>
        </w:tc>
        <w:tc>
          <w:tcPr>
            <w:tcW w:type="dxa" w:w="1505"/>
          </w:tcPr>
          <w:p>
            <w:r>
              <w:rPr>
                <w:rFonts w:ascii="Arial" w:hAnsi="Arial"/>
                <w:sz w:val="20"/>
              </w:rPr>
              <w:t>全球布局</w:t>
            </w:r>
          </w:p>
        </w:tc>
      </w:tr>
    </w:tbl>
    <w:p>
      <w:pPr/>
      <w:r>
        <w:rPr>
          <w:rFonts w:ascii="Arial" w:hAnsi="Arial"/>
          <w:b/>
          <w:sz w:val="24"/>
        </w:rPr>
        <w:t>Ares 競爭優勢:</w:t>
      </w:r>
    </w:p>
    <w:p>
      <w:pPr>
        <w:pStyle w:val="ListNumber"/>
      </w:pPr>
      <w:r>
        <w:rPr>
          <w:rFonts w:ascii="Arial" w:hAnsi="Arial"/>
          <w:b/>
          <w:sz w:val="24"/>
        </w:rPr>
        <w:t>私募信貸市場領導地位:</w:t>
      </w:r>
      <w:r>
        <w:rPr>
          <w:rFonts w:ascii="Arial" w:hAnsi="Arial"/>
          <w:sz w:val="24"/>
        </w:rPr>
        <w:t xml:space="preserve"> 直接貸款業務規模和專業度領先</w:t>
      </w:r>
    </w:p>
    <w:p>
      <w:pPr>
        <w:pStyle w:val="ListNumber"/>
      </w:pPr>
      <w:r>
        <w:rPr>
          <w:rFonts w:ascii="Arial" w:hAnsi="Arial"/>
          <w:b/>
          <w:sz w:val="24"/>
        </w:rPr>
        <w:t>中端市場深耕:</w:t>
      </w:r>
      <w:r>
        <w:rPr>
          <w:rFonts w:ascii="Arial" w:hAnsi="Arial"/>
          <w:sz w:val="24"/>
        </w:rPr>
        <w:t xml:space="preserve"> 專注於$1,000萬-$2.5億EBITDA企業,競爭對手較少</w:t>
      </w:r>
    </w:p>
    <w:p>
      <w:pPr>
        <w:pStyle w:val="ListNumber"/>
      </w:pPr>
      <w:r>
        <w:rPr>
          <w:rFonts w:ascii="Arial" w:hAnsi="Arial"/>
          <w:b/>
          <w:sz w:val="24"/>
        </w:rPr>
        <w:t>收益穩定性:</w:t>
      </w:r>
      <w:r>
        <w:rPr>
          <w:rFonts w:ascii="Arial" w:hAnsi="Arial"/>
          <w:sz w:val="24"/>
        </w:rPr>
        <w:t xml:space="preserve"> 管理費收入占比高,較少依賴波動性業績費</w:t>
      </w:r>
    </w:p>
    <w:p>
      <w:pPr>
        <w:pStyle w:val="ListNumber"/>
      </w:pPr>
      <w:r>
        <w:rPr>
          <w:rFonts w:ascii="Arial" w:hAnsi="Arial"/>
          <w:b/>
          <w:sz w:val="24"/>
        </w:rPr>
        <w:t>成長潛力:</w:t>
      </w:r>
      <w:r>
        <w:rPr>
          <w:rFonts w:ascii="Arial" w:hAnsi="Arial"/>
          <w:sz w:val="24"/>
        </w:rPr>
        <w:t xml:space="preserve"> 相對規模較小,增長空間更大</w:t>
      </w:r>
    </w:p>
    <w:p>
      <w:pPr/>
      <w:r>
        <w:rPr>
          <w:rFonts w:ascii="Arial" w:hAnsi="Arial"/>
          <w:b/>
          <w:sz w:val="24"/>
        </w:rPr>
        <w:t>劣勢:</w:t>
      </w:r>
    </w:p>
    <w:p>
      <w:pPr>
        <w:pStyle w:val="ListNumber"/>
      </w:pPr>
      <w:r>
        <w:rPr>
          <w:rFonts w:ascii="Arial" w:hAnsi="Arial"/>
          <w:b/>
          <w:sz w:val="24"/>
        </w:rPr>
        <w:t>規模劣勢:</w:t>
      </w:r>
      <w:r>
        <w:rPr>
          <w:rFonts w:ascii="Arial" w:hAnsi="Arial"/>
          <w:sz w:val="24"/>
        </w:rPr>
        <w:t xml:space="preserve"> AUM僅為Blackstone的40-45%</w:t>
      </w:r>
    </w:p>
    <w:p>
      <w:pPr>
        <w:pStyle w:val="ListNumber"/>
      </w:pPr>
      <w:r>
        <w:rPr>
          <w:rFonts w:ascii="Arial" w:hAnsi="Arial"/>
          <w:b/>
          <w:sz w:val="24"/>
        </w:rPr>
        <w:t>品牌知名度:</w:t>
      </w:r>
      <w:r>
        <w:rPr>
          <w:rFonts w:ascii="Arial" w:hAnsi="Arial"/>
          <w:sz w:val="24"/>
        </w:rPr>
        <w:t xml:space="preserve"> 不如老牌PE巨頭</w:t>
      </w:r>
    </w:p>
    <w:p>
      <w:pPr>
        <w:pStyle w:val="ListNumber"/>
      </w:pPr>
      <w:r>
        <w:rPr>
          <w:rFonts w:ascii="Arial" w:hAnsi="Arial"/>
          <w:b/>
          <w:sz w:val="24"/>
        </w:rPr>
        <w:t>估值溢價:</w:t>
      </w:r>
      <w:r>
        <w:rPr>
          <w:rFonts w:ascii="Arial" w:hAnsi="Arial"/>
          <w:sz w:val="24"/>
        </w:rPr>
        <w:t xml:space="preserve"> P/E倍數較高,反映市場對增長的高預期</w:t>
      </w:r>
    </w:p>
    <w:p>
      <w:r>
        <w:t>__________________________________________________</w:t>
      </w:r>
    </w:p>
    <w:p>
      <w:pPr>
        <w:pStyle w:val="Heading2"/>
      </w:pPr>
      <w:r>
        <w:t>七、關鍵財務指標與估值</w:t>
      </w:r>
    </w:p>
    <w:p>
      <w:pPr>
        <w:pStyle w:val="Heading3"/>
      </w:pPr>
      <w:r>
        <w:t>7.1 重要財務比率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指標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2025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2024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2023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行業中位數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**P/E (本益比)**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66.6x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75.6x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46.3x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25-35x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**P/B (股價淨值比)**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4.07x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9.89x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11.59x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3-5x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**P/S (市銷率)**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5.43x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9.03x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6.04x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4-8x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**ROE (股東權益報酬率)**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6.1%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13.1%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25.1%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15-20%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**ROA (資產報酬率)**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1.9%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1.9%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2-4%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**股息殖利率**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2.77%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3.74%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4.70%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3-5%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**派息比率**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184.7%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282.7%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217.3%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50-80%</w:t>
            </w:r>
          </w:p>
        </w:tc>
      </w:tr>
    </w:tbl>
    <w:p>
      <w:pPr/>
      <w:r>
        <w:rPr>
          <w:rFonts w:ascii="Arial" w:hAnsi="Arial"/>
          <w:b/>
          <w:sz w:val="24"/>
        </w:rPr>
        <w:t>估值分析:</w:t>
      </w:r>
    </w:p>
    <w:p>
      <w:pPr>
        <w:pStyle w:val="ListBullet"/>
      </w:pPr>
      <w:r>
        <w:rPr>
          <w:rFonts w:ascii="Arial" w:hAnsi="Arial"/>
          <w:b/>
          <w:sz w:val="24"/>
        </w:rPr>
        <w:t>高P/E倍數:</w:t>
      </w:r>
      <w:r>
        <w:rPr>
          <w:rFonts w:ascii="Arial" w:hAnsi="Arial"/>
          <w:sz w:val="24"/>
        </w:rPr>
        <w:t xml:space="preserve"> 反映市場對未來增長的強烈預期,但也暗示估值泡沫風險</w:t>
      </w:r>
    </w:p>
    <w:p>
      <w:pPr>
        <w:pStyle w:val="ListBullet"/>
      </w:pPr>
      <w:r>
        <w:rPr>
          <w:rFonts w:ascii="Arial" w:hAnsi="Arial"/>
          <w:b/>
          <w:sz w:val="24"/>
        </w:rPr>
        <w:t>P/B改善:</w:t>
      </w:r>
      <w:r>
        <w:rPr>
          <w:rFonts w:ascii="Arial" w:hAnsi="Arial"/>
          <w:sz w:val="24"/>
        </w:rPr>
        <w:t xml:space="preserve"> 從2024年9.89x降至2025年4.07x,主因股東權益大增</w:t>
      </w:r>
    </w:p>
    <w:p>
      <w:pPr>
        <w:pStyle w:val="ListBullet"/>
      </w:pPr>
      <w:r>
        <w:rPr>
          <w:rFonts w:ascii="Arial" w:hAnsi="Arial"/>
          <w:b/>
          <w:sz w:val="24"/>
        </w:rPr>
        <w:t>ROE下降:</w:t>
      </w:r>
      <w:r>
        <w:rPr>
          <w:rFonts w:ascii="Arial" w:hAnsi="Arial"/>
          <w:sz w:val="24"/>
        </w:rPr>
        <w:t xml:space="preserve"> 需關注盈利能力是否持續下滑</w:t>
      </w:r>
    </w:p>
    <w:p>
      <w:pPr>
        <w:pStyle w:val="ListBullet"/>
      </w:pPr>
      <w:r>
        <w:rPr>
          <w:rFonts w:ascii="Arial" w:hAnsi="Arial"/>
          <w:b/>
          <w:sz w:val="24"/>
        </w:rPr>
        <w:t>高派息比率:</w:t>
      </w:r>
      <w:r>
        <w:rPr>
          <w:rFonts w:ascii="Arial" w:hAnsi="Arial"/>
          <w:sz w:val="24"/>
        </w:rPr>
        <w:t xml:space="preserve"> 派息超過淨利,依賴現金流或舉債派息,可持續性存疑</w:t>
      </w:r>
    </w:p>
    <w:p>
      <w:pPr>
        <w:pStyle w:val="Heading3"/>
      </w:pPr>
      <w:r>
        <w:t>7.2 分析師預估 (需實際數據補充)</w:t>
      </w:r>
    </w:p>
    <w:p>
      <w:pPr/>
      <w:r>
        <w:rPr>
          <w:rFonts w:ascii="Arial" w:hAnsi="Arial"/>
          <w:sz w:val="24"/>
        </w:rPr>
        <w:t>由於FMP分析師預估端點返回空值,無法提供共識預測。建議投資者查閱:</w:t>
      </w:r>
    </w:p>
    <w:p>
      <w:pPr>
        <w:pStyle w:val="ListBullet"/>
      </w:pPr>
      <w:r>
        <w:rPr>
          <w:rFonts w:ascii="Arial" w:hAnsi="Arial"/>
          <w:sz w:val="24"/>
        </w:rPr>
        <w:t>Bloomberg Terminal</w:t>
      </w:r>
    </w:p>
    <w:p>
      <w:pPr>
        <w:pStyle w:val="ListBullet"/>
      </w:pPr>
      <w:r>
        <w:rPr>
          <w:rFonts w:ascii="Arial" w:hAnsi="Arial"/>
          <w:sz w:val="24"/>
        </w:rPr>
        <w:t>FactSet</w:t>
      </w:r>
    </w:p>
    <w:p>
      <w:pPr>
        <w:pStyle w:val="ListBullet"/>
      </w:pPr>
      <w:r>
        <w:rPr>
          <w:rFonts w:ascii="Arial" w:hAnsi="Arial"/>
          <w:sz w:val="24"/>
        </w:rPr>
        <w:t>Ares Management 官方投資者關係頁面</w:t>
      </w:r>
    </w:p>
    <w:p>
      <w:r>
        <w:t>__________________________________________________</w:t>
      </w:r>
    </w:p>
    <w:p>
      <w:pPr>
        <w:pStyle w:val="Heading2"/>
      </w:pPr>
      <w:r>
        <w:t>八、**特別焦點:增長持續性與貨幣政策影響分析**</w:t>
      </w:r>
    </w:p>
    <w:p>
      <w:pPr>
        <w:pStyle w:val="Heading3"/>
      </w:pPr>
      <w:r>
        <w:t>8.1 增長率能否持續擴張?</w:t>
      </w:r>
    </w:p>
    <w:p>
      <w:pPr/>
      <w:r>
        <w:rPr>
          <w:rFonts w:ascii="Arial" w:hAnsi="Arial"/>
          <w:b/>
          <w:sz w:val="24"/>
        </w:rPr>
        <w:t>歷史增長軌跡: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年度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營收增長率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AUM增長率 (估)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驅動因素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2025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**+66.6%**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**+25-30%**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私募信貸爆發、併購整合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2024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+6.9%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+15-20%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市場復甦初期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2023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+18.9%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+10-15%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高利率環境下信貸需求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2022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-27.5%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-5-10%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市場低迷、業績費銳減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2021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+138.8%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+30-40%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疫後復甦、退出潮</w:t>
            </w:r>
          </w:p>
        </w:tc>
      </w:tr>
    </w:tbl>
    <w:p>
      <w:pPr/>
      <w:r>
        <w:rPr>
          <w:rFonts w:ascii="Arial" w:hAnsi="Arial"/>
          <w:b/>
          <w:sz w:val="24"/>
        </w:rPr>
        <w:t>增長持續性評估:</w:t>
      </w:r>
    </w:p>
    <w:p>
      <w:pPr/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支持持續增長的因素:</w:t>
      </w:r>
    </w:p>
    <w:p>
      <w:pPr>
        <w:pStyle w:val="ListNumber"/>
      </w:pPr>
      <w:r>
        <w:rPr>
          <w:rFonts w:ascii="Arial" w:hAnsi="Arial"/>
          <w:b/>
          <w:sz w:val="24"/>
        </w:rPr>
        <w:t>結構性趨勢:</w:t>
      </w:r>
    </w:p>
    <w:p>
      <w:pPr/>
      <w:r>
        <w:rPr>
          <w:rFonts w:ascii="Arial" w:hAnsi="Arial"/>
          <w:sz w:val="24"/>
        </w:rPr>
        <w:t xml:space="preserve">   - 私募信貸市場持續從銀行貸款市場搶佔份額</w:t>
      </w:r>
    </w:p>
    <w:p>
      <w:pPr/>
      <w:r>
        <w:rPr>
          <w:rFonts w:ascii="Arial" w:hAnsi="Arial"/>
          <w:sz w:val="24"/>
        </w:rPr>
        <w:t xml:space="preserve">   - 預估到2030年,私募信貸AUM將達$3.5-4萬億美元 (當前~$1.5萬億)</w:t>
      </w:r>
    </w:p>
    <w:p>
      <w:pPr/>
      <w:r>
        <w:rPr>
          <w:rFonts w:ascii="Arial" w:hAnsi="Arial"/>
          <w:sz w:val="24"/>
        </w:rPr>
        <w:t xml:space="preserve">   - Ares作為領導者將持續受益</w:t>
      </w:r>
    </w:p>
    <w:p>
      <w:pPr>
        <w:pStyle w:val="ListNumber"/>
      </w:pPr>
      <w:r>
        <w:rPr>
          <w:rFonts w:ascii="Arial" w:hAnsi="Arial"/>
          <w:b/>
          <w:sz w:val="24"/>
        </w:rPr>
        <w:t>產品多元化:</w:t>
      </w:r>
    </w:p>
    <w:p>
      <w:pPr/>
      <w:r>
        <w:rPr>
          <w:rFonts w:ascii="Arial" w:hAnsi="Arial"/>
          <w:sz w:val="24"/>
        </w:rPr>
        <w:t xml:space="preserve">   - Evergreen基金吸引散戶和財富管理資金</w:t>
      </w:r>
    </w:p>
    <w:p>
      <w:pPr/>
      <w:r>
        <w:rPr>
          <w:rFonts w:ascii="Arial" w:hAnsi="Arial"/>
          <w:sz w:val="24"/>
        </w:rPr>
        <w:t xml:space="preserve">   - 基礎設施和房地產提供新增長極</w:t>
      </w:r>
    </w:p>
    <w:p>
      <w:pPr>
        <w:pStyle w:val="ListNumber"/>
      </w:pPr>
      <w:r>
        <w:rPr>
          <w:rFonts w:ascii="Arial" w:hAnsi="Arial"/>
          <w:b/>
          <w:sz w:val="24"/>
        </w:rPr>
        <w:t>募資管道穩固:</w:t>
      </w:r>
    </w:p>
    <w:p>
      <w:pPr/>
      <w:r>
        <w:rPr>
          <w:rFonts w:ascii="Arial" w:hAnsi="Arial"/>
          <w:sz w:val="24"/>
        </w:rPr>
        <w:t xml:space="preserve">   - 機構投資者(養老金、主權基金)持續增配另類資產</w:t>
      </w:r>
    </w:p>
    <w:p>
      <w:pPr/>
      <w:r>
        <w:rPr>
          <w:rFonts w:ascii="Arial" w:hAnsi="Arial"/>
          <w:sz w:val="24"/>
        </w:rPr>
        <w:t xml:space="preserve">   - 目標配置比例從5-10%提升至15-20%</w:t>
      </w:r>
    </w:p>
    <w:p>
      <w:pPr>
        <w:pStyle w:val="ListNumber"/>
      </w:pPr>
      <w:r>
        <w:rPr>
          <w:rFonts w:ascii="Arial" w:hAnsi="Arial"/>
          <w:b/>
          <w:sz w:val="24"/>
        </w:rPr>
        <w:t>併購整合:</w:t>
      </w:r>
    </w:p>
    <w:p>
      <w:pPr/>
      <w:r>
        <w:rPr>
          <w:rFonts w:ascii="Arial" w:hAnsi="Arial"/>
          <w:sz w:val="24"/>
        </w:rPr>
        <w:t xml:space="preserve">   - 行業整合加速,Ares有能力收購小型管理公司</w:t>
      </w:r>
    </w:p>
    <w:p>
      <w:pPr/>
      <w:r>
        <w:rPr>
          <w:rFonts w:ascii="Arial" w:hAnsi="Arial"/>
          <w:sz w:val="24"/>
        </w:rPr>
        <w:t xml:space="preserve">⚠️ </w:t>
      </w:r>
      <w:r>
        <w:rPr>
          <w:rFonts w:ascii="Arial" w:hAnsi="Arial"/>
          <w:b/>
          <w:sz w:val="24"/>
        </w:rPr>
        <w:t>增長放緩風險:</w:t>
      </w:r>
    </w:p>
    <w:p>
      <w:pPr>
        <w:pStyle w:val="ListNumber"/>
      </w:pPr>
      <w:r>
        <w:rPr>
          <w:rFonts w:ascii="Arial" w:hAnsi="Arial"/>
          <w:b/>
          <w:sz w:val="24"/>
        </w:rPr>
        <w:t>基數效應:</w:t>
      </w:r>
    </w:p>
    <w:p>
      <w:pPr/>
      <w:r>
        <w:rPr>
          <w:rFonts w:ascii="Arial" w:hAnsi="Arial"/>
          <w:sz w:val="24"/>
        </w:rPr>
        <w:t xml:space="preserve">   - 2025年66.6%增長包含一次性併購或會計調整</w:t>
      </w:r>
    </w:p>
    <w:p>
      <w:pPr/>
      <w:r>
        <w:rPr>
          <w:rFonts w:ascii="Arial" w:hAnsi="Arial"/>
          <w:sz w:val="24"/>
        </w:rPr>
        <w:t xml:space="preserve">   - 2026年難以維持如此高增速,預估回落至15-25%</w:t>
      </w:r>
    </w:p>
    <w:p>
      <w:pPr>
        <w:pStyle w:val="ListNumber"/>
      </w:pPr>
      <w:r>
        <w:rPr>
          <w:rFonts w:ascii="Arial" w:hAnsi="Arial"/>
          <w:b/>
          <w:sz w:val="24"/>
        </w:rPr>
        <w:t>市場飽和:</w:t>
      </w:r>
    </w:p>
    <w:p>
      <w:pPr/>
      <w:r>
        <w:rPr>
          <w:rFonts w:ascii="Arial" w:hAnsi="Arial"/>
          <w:sz w:val="24"/>
        </w:rPr>
        <w:t xml:space="preserve">   - 私募信貸市場競爭加劇</w:t>
      </w:r>
    </w:p>
    <w:p>
      <w:pPr/>
      <w:r>
        <w:rPr>
          <w:rFonts w:ascii="Arial" w:hAnsi="Arial"/>
          <w:sz w:val="24"/>
        </w:rPr>
        <w:t xml:space="preserve">   - 管理費率面臨下行壓力</w:t>
      </w:r>
    </w:p>
    <w:p>
      <w:pPr>
        <w:pStyle w:val="ListNumber"/>
      </w:pPr>
      <w:r>
        <w:rPr>
          <w:rFonts w:ascii="Arial" w:hAnsi="Arial"/>
          <w:b/>
          <w:sz w:val="24"/>
        </w:rPr>
        <w:t>經濟衰退風險:</w:t>
      </w:r>
    </w:p>
    <w:p>
      <w:pPr/>
      <w:r>
        <w:rPr>
          <w:rFonts w:ascii="Arial" w:hAnsi="Arial"/>
          <w:sz w:val="24"/>
        </w:rPr>
        <w:t xml:space="preserve">   - 若經濟硬著陸,企業違約率上升</w:t>
      </w:r>
    </w:p>
    <w:p>
      <w:pPr/>
      <w:r>
        <w:rPr>
          <w:rFonts w:ascii="Arial" w:hAnsi="Arial"/>
          <w:sz w:val="24"/>
        </w:rPr>
        <w:t xml:space="preserve">   - 新基金募資困難,既有投資減值</w:t>
      </w:r>
    </w:p>
    <w:p>
      <w:pPr>
        <w:pStyle w:val="ListNumber"/>
      </w:pPr>
      <w:r>
        <w:rPr>
          <w:rFonts w:ascii="Arial" w:hAnsi="Arial"/>
          <w:b/>
          <w:sz w:val="24"/>
        </w:rPr>
        <w:t>監管收緊:</w:t>
      </w:r>
    </w:p>
    <w:p>
      <w:pPr/>
      <w:r>
        <w:rPr>
          <w:rFonts w:ascii="Arial" w:hAnsi="Arial"/>
          <w:sz w:val="24"/>
        </w:rPr>
        <w:t xml:space="preserve">   - SEC對私募基金費用透明度、利益衝突監管加強</w:t>
      </w:r>
    </w:p>
    <w:p>
      <w:pPr/>
      <w:r>
        <w:rPr>
          <w:rFonts w:ascii="Arial" w:hAnsi="Arial"/>
          <w:sz w:val="24"/>
        </w:rPr>
        <w:t xml:space="preserve">   - 可能壓縮利潤率</w:t>
      </w:r>
    </w:p>
    <w:p>
      <w:pPr/>
      <w:r>
        <w:rPr>
          <w:rFonts w:ascii="Arial" w:hAnsi="Arial"/>
          <w:b/>
          <w:sz w:val="24"/>
        </w:rPr>
        <w:t>結論:</w:t>
      </w:r>
    </w:p>
    <w:p>
      <w:pPr/>
      <w:r>
        <w:rPr>
          <w:rFonts w:ascii="Arial" w:hAnsi="Arial"/>
          <w:sz w:val="24"/>
        </w:rPr>
        <w:t>Ares 的增長具備</w:t>
      </w:r>
      <w:r>
        <w:rPr>
          <w:rFonts w:ascii="Arial" w:hAnsi="Arial"/>
          <w:b/>
          <w:sz w:val="24"/>
        </w:rPr>
        <w:t>長期結構性支撐</w:t>
      </w:r>
      <w:r>
        <w:rPr>
          <w:rFonts w:ascii="Arial" w:hAnsi="Arial"/>
          <w:sz w:val="24"/>
        </w:rPr>
        <w:t>,但短期(2026-2027)將面臨</w:t>
      </w:r>
      <w:r>
        <w:rPr>
          <w:rFonts w:ascii="Arial" w:hAnsi="Arial"/>
          <w:b/>
          <w:sz w:val="24"/>
        </w:rPr>
        <w:t>增速放緩</w:t>
      </w:r>
      <w:r>
        <w:rPr>
          <w:rFonts w:ascii="Arial" w:hAnsi="Arial"/>
          <w:sz w:val="24"/>
        </w:rPr>
        <w:t>至20-30%區間。關鍵在於:</w:t>
      </w:r>
    </w:p>
    <w:p>
      <w:pPr>
        <w:pStyle w:val="ListBullet"/>
      </w:pPr>
      <w:r>
        <w:rPr>
          <w:rFonts w:ascii="Arial" w:hAnsi="Arial"/>
          <w:sz w:val="24"/>
        </w:rPr>
        <w:t>私募信貸市場是否持續擴張</w:t>
      </w:r>
    </w:p>
    <w:p>
      <w:pPr>
        <w:pStyle w:val="ListBullet"/>
      </w:pPr>
      <w:r>
        <w:rPr>
          <w:rFonts w:ascii="Arial" w:hAnsi="Arial"/>
          <w:sz w:val="24"/>
        </w:rPr>
        <w:t>公司能否維持市佔率</w:t>
      </w:r>
    </w:p>
    <w:p>
      <w:pPr>
        <w:pStyle w:val="ListBullet"/>
      </w:pPr>
      <w:r>
        <w:rPr>
          <w:rFonts w:ascii="Arial" w:hAnsi="Arial"/>
          <w:sz w:val="24"/>
        </w:rPr>
        <w:t>宏觀經濟是否軟著陸</w:t>
      </w:r>
    </w:p>
    <w:p>
      <w:r>
        <w:t>__________________________________________________</w:t>
      </w:r>
    </w:p>
    <w:p>
      <w:pPr>
        <w:pStyle w:val="Heading3"/>
      </w:pPr>
      <w:r>
        <w:t>8.2 當前政策環境下的增長趨勢</w:t>
      </w:r>
    </w:p>
    <w:p>
      <w:pPr/>
      <w:r>
        <w:rPr>
          <w:rFonts w:ascii="Arial" w:hAnsi="Arial"/>
          <w:b/>
          <w:sz w:val="24"/>
        </w:rPr>
        <w:t>2024-2026年宏觀環境:</w:t>
      </w:r>
    </w:p>
    <w:p>
      <w:pPr>
        <w:pStyle w:val="ListNumber"/>
      </w:pPr>
      <w:r>
        <w:rPr>
          <w:rFonts w:ascii="Arial" w:hAnsi="Arial"/>
          <w:b/>
          <w:sz w:val="24"/>
        </w:rPr>
        <w:t>利率環境:</w:t>
      </w:r>
    </w:p>
    <w:p>
      <w:pPr/>
      <w:r>
        <w:rPr>
          <w:rFonts w:ascii="Arial" w:hAnsi="Arial"/>
          <w:sz w:val="24"/>
        </w:rPr>
        <w:t xml:space="preserve">   - 2024-2025: 聯準會維持高利率 (5.25-5.50%)</w:t>
      </w:r>
    </w:p>
    <w:p>
      <w:pPr/>
      <w:r>
        <w:rPr>
          <w:rFonts w:ascii="Arial" w:hAnsi="Arial"/>
          <w:sz w:val="24"/>
        </w:rPr>
        <w:t xml:space="preserve">   - 2025年下半年-2026: 開始緩慢降息週期 (預估降至4.5-5.0%)</w:t>
      </w:r>
    </w:p>
    <w:p>
      <w:pPr>
        <w:pStyle w:val="ListNumber"/>
      </w:pPr>
      <w:r>
        <w:rPr>
          <w:rFonts w:ascii="Arial" w:hAnsi="Arial"/>
          <w:b/>
          <w:sz w:val="24"/>
        </w:rPr>
        <w:t>信貸市場:</w:t>
      </w:r>
    </w:p>
    <w:p>
      <w:pPr/>
      <w:r>
        <w:rPr>
          <w:rFonts w:ascii="Arial" w:hAnsi="Arial"/>
          <w:sz w:val="24"/>
        </w:rPr>
        <w:t xml:space="preserve">   - 銀行收緊貸款標準,中小企業轉向私募信貸</w:t>
      </w:r>
    </w:p>
    <w:p>
      <w:pPr/>
      <w:r>
        <w:rPr>
          <w:rFonts w:ascii="Arial" w:hAnsi="Arial"/>
          <w:sz w:val="24"/>
        </w:rPr>
        <w:t xml:space="preserve">   - 直接貸款利差擴大,投資者報酬率吸引力提升</w:t>
      </w:r>
    </w:p>
    <w:p>
      <w:pPr>
        <w:pStyle w:val="ListNumber"/>
      </w:pPr>
      <w:r>
        <w:rPr>
          <w:rFonts w:ascii="Arial" w:hAnsi="Arial"/>
          <w:b/>
          <w:sz w:val="24"/>
        </w:rPr>
        <w:t>私募股權退出環境:</w:t>
      </w:r>
    </w:p>
    <w:p>
      <w:pPr/>
      <w:r>
        <w:rPr>
          <w:rFonts w:ascii="Arial" w:hAnsi="Arial"/>
          <w:sz w:val="24"/>
        </w:rPr>
        <w:t xml:space="preserve">   - IPO市場2024年復甦緩慢</w:t>
      </w:r>
    </w:p>
    <w:p>
      <w:pPr/>
      <w:r>
        <w:rPr>
          <w:rFonts w:ascii="Arial" w:hAnsi="Arial"/>
          <w:sz w:val="24"/>
        </w:rPr>
        <w:t xml:space="preserve">   - 併購交易活躍度提升,但估值壓力仍存</w:t>
      </w:r>
    </w:p>
    <w:p>
      <w:pPr/>
      <w:r>
        <w:rPr>
          <w:rFonts w:ascii="Arial" w:hAnsi="Arial"/>
          <w:b/>
          <w:sz w:val="24"/>
        </w:rPr>
        <w:t>當前政策環境對Ares的影響: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因素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影響方向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影響程度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b/>
                <w:sz w:val="22"/>
              </w:rPr>
              <w:t>說明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**高利率持續**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✅ 正面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⭐⭐⭐⭐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私募信貸需求旺盛,利差擴大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**銀行監管趨嚴**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✅ 正面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⭐⭐⭐⭐⭐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銀行退出中端市場,Ares填補空缺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**經濟軟著陸預期**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✅ 正面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⭐⭐⭐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避免大規模違約,同時維持融資需求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**私募股權退出受阻**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⚠️ 中性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⭐⭐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業績費減少,但管理費仍穩定</w:t>
            </w:r>
          </w:p>
        </w:tc>
      </w:tr>
      <w:tr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**資本市場波動**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⚠️ 中性偏負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⭐⭐</w:t>
            </w:r>
          </w:p>
        </w:tc>
        <w:tc>
          <w:tcPr>
            <w:tcW w:type="dxa" w:w="2257"/>
          </w:tcPr>
          <w:p>
            <w:r>
              <w:rPr>
                <w:rFonts w:ascii="Arial" w:hAnsi="Arial"/>
                <w:sz w:val="20"/>
              </w:rPr>
              <w:t>影響募資情緒,但機構投資者配置長期化</w:t>
            </w:r>
          </w:p>
        </w:tc>
      </w:tr>
    </w:tbl>
    <w:p>
      <w:pPr/>
      <w:r>
        <w:rPr>
          <w:rFonts w:ascii="Arial" w:hAnsi="Arial"/>
          <w:b/>
          <w:sz w:val="24"/>
        </w:rPr>
        <w:t>結論:</w:t>
      </w:r>
    </w:p>
    <w:p>
      <w:pPr/>
      <w:r>
        <w:rPr>
          <w:rFonts w:ascii="Arial" w:hAnsi="Arial"/>
          <w:b/>
          <w:sz w:val="24"/>
        </w:rPr>
        <w:t>2024-2026年政策環境整體有利於Ares</w:t>
      </w:r>
      <w:r>
        <w:rPr>
          <w:rFonts w:ascii="Arial" w:hAnsi="Arial"/>
          <w:sz w:val="24"/>
        </w:rPr>
        <w:t>,特別是:</w:t>
      </w:r>
    </w:p>
    <w:p>
      <w:pPr>
        <w:pStyle w:val="ListBullet"/>
      </w:pPr>
      <w:r>
        <w:rPr>
          <w:rFonts w:ascii="Arial" w:hAnsi="Arial"/>
          <w:b/>
          <w:sz w:val="24"/>
        </w:rPr>
        <w:t>高利率環境是雙刃劍,但對私募信貸偏正面</w:t>
      </w:r>
    </w:p>
    <w:p>
      <w:pPr>
        <w:pStyle w:val="ListBullet"/>
      </w:pPr>
      <w:r>
        <w:rPr>
          <w:rFonts w:ascii="Arial" w:hAnsi="Arial"/>
          <w:b/>
          <w:sz w:val="24"/>
        </w:rPr>
        <w:t>銀行退出中端市場是最大紅利</w:t>
      </w:r>
    </w:p>
    <w:p>
      <w:pPr>
        <w:pStyle w:val="ListBullet"/>
      </w:pPr>
      <w:r>
        <w:rPr>
          <w:rFonts w:ascii="Arial" w:hAnsi="Arial"/>
          <w:b/>
          <w:sz w:val="24"/>
        </w:rPr>
        <w:t>關鍵風險在於經濟是否硬著陸</w:t>
      </w:r>
    </w:p>
    <w:p>
      <w:r>
        <w:t>__________________________________________________</w:t>
      </w:r>
    </w:p>
    <w:p>
      <w:pPr>
        <w:pStyle w:val="Heading3"/>
      </w:pPr>
      <w:r>
        <w:t>8.3 **貨幣寬鬆 vs 緊縮對Ares的影響矩陣**</w:t>
      </w:r>
    </w:p>
    <w:p>
      <w:pPr/>
      <w:r>
        <w:rPr>
          <w:rFonts w:ascii="Arial" w:hAnsi="Arial"/>
          <w:sz w:val="24"/>
        </w:rPr>
        <w:t>#### 情境一:聯準會持續降息 (2026-2027年降至3.0-3.5%)</w:t>
      </w:r>
    </w:p>
    <w:p>
      <w:pPr/>
      <w:r>
        <w:rPr>
          <w:rFonts w:ascii="Arial" w:hAnsi="Arial"/>
          <w:b/>
          <w:sz w:val="24"/>
        </w:rPr>
        <w:t>影響分析: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業務線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募資能力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部署速度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投資報酬率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管理費收入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業績費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綜合影響</w:t>
            </w:r>
          </w:p>
        </w:tc>
      </w:tr>
      <w:tr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**直接貸款**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⬇️ 弱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⬇️ 下降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增長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➡️ 穩定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⚠️ **中性偏負**</w:t>
            </w:r>
          </w:p>
        </w:tc>
      </w:tr>
      <w:tr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**私募股權**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改善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增長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大增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✅ **強正面**</w:t>
            </w:r>
          </w:p>
        </w:tc>
      </w:tr>
      <w:tr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**房地產**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改善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增長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大增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✅ **強正面**</w:t>
            </w:r>
          </w:p>
        </w:tc>
      </w:tr>
      <w:tr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**基礎設施**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➡️ 穩定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➡️ 穩定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增長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➡️ 穩定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✅ **正面**</w:t>
            </w:r>
          </w:p>
        </w:tc>
      </w:tr>
    </w:tbl>
    <w:p>
      <w:pPr/>
      <w:r>
        <w:rPr>
          <w:rFonts w:ascii="Arial" w:hAnsi="Arial"/>
          <w:b/>
          <w:sz w:val="24"/>
        </w:rPr>
        <w:t>詳細邏輯:</w:t>
      </w:r>
    </w:p>
    <w:p>
      <w:pPr>
        <w:pStyle w:val="ListNumber"/>
      </w:pPr>
      <w:r>
        <w:rPr>
          <w:rFonts w:ascii="Arial" w:hAnsi="Arial"/>
          <w:b/>
          <w:sz w:val="24"/>
        </w:rPr>
        <w:t>直接貸款業務:</w:t>
      </w:r>
    </w:p>
    <w:p>
      <w:pPr/>
      <w:r>
        <w:rPr>
          <w:rFonts w:ascii="Arial" w:hAnsi="Arial"/>
          <w:sz w:val="24"/>
        </w:rPr>
        <w:t xml:space="preserve">   - ✅ </w:t>
      </w:r>
      <w:r>
        <w:rPr>
          <w:rFonts w:ascii="Arial" w:hAnsi="Arial"/>
          <w:b/>
          <w:sz w:val="24"/>
        </w:rPr>
        <w:t>募資能力提升:</w:t>
      </w:r>
      <w:r>
        <w:rPr>
          <w:rFonts w:ascii="Arial" w:hAnsi="Arial"/>
          <w:sz w:val="24"/>
        </w:rPr>
        <w:t xml:space="preserve"> 利率下降,固定收益吸引力下降,投資者轉向私募信貸</w:t>
      </w:r>
    </w:p>
    <w:p>
      <w:pPr/>
      <w:r>
        <w:rPr>
          <w:rFonts w:ascii="Arial" w:hAnsi="Arial"/>
          <w:sz w:val="24"/>
        </w:rPr>
        <w:t xml:space="preserve">   - ❌ </w:t>
      </w:r>
      <w:r>
        <w:rPr>
          <w:rFonts w:ascii="Arial" w:hAnsi="Arial"/>
          <w:b/>
          <w:sz w:val="24"/>
        </w:rPr>
        <w:t>部署速度放緩:</w:t>
      </w:r>
      <w:r>
        <w:rPr>
          <w:rFonts w:ascii="Arial" w:hAnsi="Arial"/>
          <w:sz w:val="24"/>
        </w:rPr>
        <w:t xml:space="preserve"> 企業融資成本降低,銀行貸款重新有競爭力,私募信貸需求減少</w:t>
      </w:r>
    </w:p>
    <w:p>
      <w:pPr/>
      <w:r>
        <w:rPr>
          <w:rFonts w:ascii="Arial" w:hAnsi="Arial"/>
          <w:sz w:val="24"/>
        </w:rPr>
        <w:t xml:space="preserve">   - ❌ </w:t>
      </w:r>
      <w:r>
        <w:rPr>
          <w:rFonts w:ascii="Arial" w:hAnsi="Arial"/>
          <w:b/>
          <w:sz w:val="24"/>
        </w:rPr>
        <w:t>利差收窄:</w:t>
      </w:r>
      <w:r>
        <w:rPr>
          <w:rFonts w:ascii="Arial" w:hAnsi="Arial"/>
          <w:sz w:val="24"/>
        </w:rPr>
        <w:t xml:space="preserve"> 無風險利率下降,直接貸款利差從SOFR+500-700bps壓縮至+400-600bps</w:t>
      </w:r>
    </w:p>
    <w:p>
      <w:pPr/>
      <w:r>
        <w:rPr>
          <w:rFonts w:ascii="Arial" w:hAnsi="Arial"/>
          <w:sz w:val="24"/>
        </w:rPr>
        <w:t xml:space="preserve">   - ✅ </w:t>
      </w:r>
      <w:r>
        <w:rPr>
          <w:rFonts w:ascii="Arial" w:hAnsi="Arial"/>
          <w:b/>
          <w:sz w:val="24"/>
        </w:rPr>
        <w:t>違約率下降:</w:t>
      </w:r>
      <w:r>
        <w:rPr>
          <w:rFonts w:ascii="Arial" w:hAnsi="Arial"/>
          <w:sz w:val="24"/>
        </w:rPr>
        <w:t xml:space="preserve"> 企業再融資壓力緩解,信用風險降低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淨影響:</w:t>
      </w:r>
      <w:r>
        <w:rPr>
          <w:rFonts w:ascii="Arial" w:hAnsi="Arial"/>
          <w:sz w:val="24"/>
        </w:rPr>
        <w:t xml:space="preserve"> AUM繼續增長,但收益率下降,管理費收入增長但放緩</w:t>
      </w:r>
    </w:p>
    <w:p>
      <w:pPr>
        <w:pStyle w:val="ListNumber"/>
      </w:pPr>
      <w:r>
        <w:rPr>
          <w:rFonts w:ascii="Arial" w:hAnsi="Arial"/>
          <w:b/>
          <w:sz w:val="24"/>
        </w:rPr>
        <w:t>私募股權業務:</w:t>
      </w:r>
    </w:p>
    <w:p>
      <w:pPr/>
      <w:r>
        <w:rPr>
          <w:rFonts w:ascii="Arial" w:hAnsi="Arial"/>
          <w:sz w:val="24"/>
        </w:rPr>
        <w:t xml:space="preserve">   - ✅✅ </w:t>
      </w:r>
      <w:r>
        <w:rPr>
          <w:rFonts w:ascii="Arial" w:hAnsi="Arial"/>
          <w:b/>
          <w:sz w:val="24"/>
        </w:rPr>
        <w:t>估值大幅提升:</w:t>
      </w:r>
      <w:r>
        <w:rPr>
          <w:rFonts w:ascii="Arial" w:hAnsi="Arial"/>
          <w:sz w:val="24"/>
        </w:rPr>
        <w:t xml:space="preserve"> 折現率下降,公司估值倍數擴張</w:t>
      </w:r>
    </w:p>
    <w:p>
      <w:pPr/>
      <w:r>
        <w:rPr>
          <w:rFonts w:ascii="Arial" w:hAnsi="Arial"/>
          <w:sz w:val="24"/>
        </w:rPr>
        <w:t xml:space="preserve">   - ✅✅ </w:t>
      </w:r>
      <w:r>
        <w:rPr>
          <w:rFonts w:ascii="Arial" w:hAnsi="Arial"/>
          <w:b/>
          <w:sz w:val="24"/>
        </w:rPr>
        <w:t>退出環境改善:</w:t>
      </w:r>
      <w:r>
        <w:rPr>
          <w:rFonts w:ascii="Arial" w:hAnsi="Arial"/>
          <w:sz w:val="24"/>
        </w:rPr>
        <w:t xml:space="preserve"> IPO市場復甦,併購交易活躍,退出估值溢價</w:t>
      </w:r>
    </w:p>
    <w:p>
      <w:pPr/>
      <w:r>
        <w:rPr>
          <w:rFonts w:ascii="Arial" w:hAnsi="Arial"/>
          <w:sz w:val="24"/>
        </w:rPr>
        <w:t xml:space="preserve">   - ✅ </w:t>
      </w:r>
      <w:r>
        <w:rPr>
          <w:rFonts w:ascii="Arial" w:hAnsi="Arial"/>
          <w:b/>
          <w:sz w:val="24"/>
        </w:rPr>
        <w:t>融資成本降低:</w:t>
      </w:r>
      <w:r>
        <w:rPr>
          <w:rFonts w:ascii="Arial" w:hAnsi="Arial"/>
          <w:sz w:val="24"/>
        </w:rPr>
        <w:t xml:space="preserve"> LBO交易槓桿成本下降,IRR提升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淨影響:</w:t>
      </w:r>
      <w:r>
        <w:rPr>
          <w:rFonts w:ascii="Arial" w:hAnsi="Arial"/>
          <w:sz w:val="24"/>
        </w:rPr>
        <w:t xml:space="preserve"> 業績費(Carried Interest)大幅增長,PE基金IRR從15-20%提升至20-25%</w:t>
      </w:r>
    </w:p>
    <w:p>
      <w:pPr>
        <w:pStyle w:val="ListNumber"/>
      </w:pPr>
      <w:r>
        <w:rPr>
          <w:rFonts w:ascii="Arial" w:hAnsi="Arial"/>
          <w:b/>
          <w:sz w:val="24"/>
        </w:rPr>
        <w:t>房地產業務:</w:t>
      </w:r>
    </w:p>
    <w:p>
      <w:pPr/>
      <w:r>
        <w:rPr>
          <w:rFonts w:ascii="Arial" w:hAnsi="Arial"/>
          <w:sz w:val="24"/>
        </w:rPr>
        <w:t xml:space="preserve">   - ✅✅ </w:t>
      </w:r>
      <w:r>
        <w:rPr>
          <w:rFonts w:ascii="Arial" w:hAnsi="Arial"/>
          <w:b/>
          <w:sz w:val="24"/>
        </w:rPr>
        <w:t>資產估值反彈:</w:t>
      </w:r>
      <w:r>
        <w:rPr>
          <w:rFonts w:ascii="Arial" w:hAnsi="Arial"/>
          <w:sz w:val="24"/>
        </w:rPr>
        <w:t xml:space="preserve"> Cap Rate下降,商業地產估值上升</w:t>
      </w:r>
    </w:p>
    <w:p>
      <w:pPr/>
      <w:r>
        <w:rPr>
          <w:rFonts w:ascii="Arial" w:hAnsi="Arial"/>
          <w:sz w:val="24"/>
        </w:rPr>
        <w:t xml:space="preserve">   - ✅ </w:t>
      </w:r>
      <w:r>
        <w:rPr>
          <w:rFonts w:ascii="Arial" w:hAnsi="Arial"/>
          <w:b/>
          <w:sz w:val="24"/>
        </w:rPr>
        <w:t>再融資機會:</w:t>
      </w:r>
      <w:r>
        <w:rPr>
          <w:rFonts w:ascii="Arial" w:hAnsi="Arial"/>
          <w:sz w:val="24"/>
        </w:rPr>
        <w:t xml:space="preserve"> 既有投資組合再融資,降低負債成本</w:t>
      </w:r>
    </w:p>
    <w:p>
      <w:pPr/>
      <w:r>
        <w:rPr>
          <w:rFonts w:ascii="Arial" w:hAnsi="Arial"/>
          <w:sz w:val="24"/>
        </w:rPr>
        <w:t xml:space="preserve">   - ✅ </w:t>
      </w:r>
      <w:r>
        <w:rPr>
          <w:rFonts w:ascii="Arial" w:hAnsi="Arial"/>
          <w:b/>
          <w:sz w:val="24"/>
        </w:rPr>
        <w:t>交易量回升:</w:t>
      </w:r>
      <w:r>
        <w:rPr>
          <w:rFonts w:ascii="Arial" w:hAnsi="Arial"/>
          <w:sz w:val="24"/>
        </w:rPr>
        <w:t xml:space="preserve"> 房地產交易市場解凍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淨影響:</w:t>
      </w:r>
      <w:r>
        <w:rPr>
          <w:rFonts w:ascii="Arial" w:hAnsi="Arial"/>
          <w:sz w:val="24"/>
        </w:rPr>
        <w:t xml:space="preserve"> 房地產基金強勁復甦,NAV大幅增長</w:t>
      </w:r>
    </w:p>
    <w:p>
      <w:pPr>
        <w:pStyle w:val="ListNumber"/>
      </w:pPr>
      <w:r>
        <w:rPr>
          <w:rFonts w:ascii="Arial" w:hAnsi="Arial"/>
          <w:b/>
          <w:sz w:val="24"/>
        </w:rPr>
        <w:t>基礎設施業務:</w:t>
      </w:r>
    </w:p>
    <w:p>
      <w:pPr/>
      <w:r>
        <w:rPr>
          <w:rFonts w:ascii="Arial" w:hAnsi="Arial"/>
          <w:sz w:val="24"/>
        </w:rPr>
        <w:t xml:space="preserve">   - ✅ </w:t>
      </w:r>
      <w:r>
        <w:rPr>
          <w:rFonts w:ascii="Arial" w:hAnsi="Arial"/>
          <w:b/>
          <w:sz w:val="24"/>
        </w:rPr>
        <w:t>長期資本成本下降:</w:t>
      </w:r>
      <w:r>
        <w:rPr>
          <w:rFonts w:ascii="Arial" w:hAnsi="Arial"/>
          <w:sz w:val="24"/>
        </w:rPr>
        <w:t xml:space="preserve"> 基建項目IRR門檻降低,投資機會增加</w:t>
      </w:r>
    </w:p>
    <w:p>
      <w:pPr/>
      <w:r>
        <w:rPr>
          <w:rFonts w:ascii="Arial" w:hAnsi="Arial"/>
          <w:sz w:val="24"/>
        </w:rPr>
        <w:t xml:space="preserve">   - ➡️ </w:t>
      </w:r>
      <w:r>
        <w:rPr>
          <w:rFonts w:ascii="Arial" w:hAnsi="Arial"/>
          <w:b/>
          <w:sz w:val="24"/>
        </w:rPr>
        <w:t>現金流相對穩定:</w:t>
      </w:r>
      <w:r>
        <w:rPr>
          <w:rFonts w:ascii="Arial" w:hAnsi="Arial"/>
          <w:sz w:val="24"/>
        </w:rPr>
        <w:t xml:space="preserve"> 受利率影響較小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淨影響:</w:t>
      </w:r>
      <w:r>
        <w:rPr>
          <w:rFonts w:ascii="Arial" w:hAnsi="Arial"/>
          <w:sz w:val="24"/>
        </w:rPr>
        <w:t xml:space="preserve"> 穩定正面</w:t>
      </w:r>
    </w:p>
    <w:p>
      <w:pPr/>
      <w:r>
        <w:rPr>
          <w:rFonts w:ascii="Arial" w:hAnsi="Arial"/>
          <w:b/>
          <w:sz w:val="24"/>
        </w:rPr>
        <w:t>整體影響 (降息情境):</w:t>
      </w:r>
    </w:p>
    <w:p>
      <w:pPr>
        <w:pStyle w:val="ListBullet"/>
      </w:pPr>
      <w:r>
        <w:rPr>
          <w:rFonts w:ascii="Arial" w:hAnsi="Arial"/>
          <w:b/>
          <w:sz w:val="24"/>
        </w:rPr>
        <w:t>2026年預估影響:</w:t>
      </w:r>
      <w:r>
        <w:rPr>
          <w:rFonts w:ascii="Arial" w:hAnsi="Arial"/>
          <w:sz w:val="24"/>
        </w:rPr>
        <w:t xml:space="preserve"> 營收增長+20-30%,業績費佔比提升至25-30%</w:t>
      </w:r>
    </w:p>
    <w:p>
      <w:pPr>
        <w:pStyle w:val="ListBullet"/>
      </w:pPr>
      <w:r>
        <w:rPr>
          <w:rFonts w:ascii="Arial" w:hAnsi="Arial"/>
          <w:b/>
          <w:sz w:val="24"/>
        </w:rPr>
        <w:t>股價表現:</w:t>
      </w:r>
      <w:r>
        <w:rPr>
          <w:rFonts w:ascii="Arial" w:hAnsi="Arial"/>
          <w:sz w:val="24"/>
        </w:rPr>
        <w:t xml:space="preserve"> 強勁上漲,P/E倍數擴張至40-50x (從當前66.6x回歸後再上升)</w:t>
      </w:r>
    </w:p>
    <w:p>
      <w:pPr>
        <w:pStyle w:val="ListBullet"/>
      </w:pPr>
      <w:r>
        <w:rPr>
          <w:rFonts w:ascii="Arial" w:hAnsi="Arial"/>
          <w:b/>
          <w:sz w:val="24"/>
        </w:rPr>
        <w:t>關鍵風險:</w:t>
      </w:r>
      <w:r>
        <w:rPr>
          <w:rFonts w:ascii="Arial" w:hAnsi="Arial"/>
          <w:sz w:val="24"/>
        </w:rPr>
        <w:t xml:space="preserve"> 若降息因經濟衰退,企業違約率上升將抵消正面影響</w:t>
      </w:r>
    </w:p>
    <w:p>
      <w:r>
        <w:t>__________________________________________________</w:t>
      </w:r>
    </w:p>
    <w:p>
      <w:pPr/>
      <w:r>
        <w:rPr>
          <w:rFonts w:ascii="Arial" w:hAnsi="Arial"/>
          <w:sz w:val="24"/>
        </w:rPr>
        <w:t>#### 情境二:聯準會持續高利率或再次升息 (維持5%+或升至5.75-6%)</w:t>
      </w:r>
    </w:p>
    <w:p>
      <w:pPr/>
      <w:r>
        <w:rPr>
          <w:rFonts w:ascii="Arial" w:hAnsi="Arial"/>
          <w:b/>
          <w:sz w:val="24"/>
        </w:rPr>
        <w:t>影響分析: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業務線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募資能力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部署速度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投資報酬率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管理費收入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業績費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b/>
                <w:sz w:val="22"/>
              </w:rPr>
              <w:t>綜合影響</w:t>
            </w:r>
          </w:p>
        </w:tc>
      </w:tr>
      <w:tr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**直接貸款**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高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⬆️⬆️ 大增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增長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✅✅ **強正面**</w:t>
            </w:r>
          </w:p>
        </w:tc>
      </w:tr>
      <w:tr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**私募股權**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⬇️ 弱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⬇️ 弱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⬇️ 低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➡️ 穩定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⬇️⬇️ 大減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❌ **負面**</w:t>
            </w:r>
          </w:p>
        </w:tc>
      </w:tr>
      <w:tr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**房地產**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⬇️ 弱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⬇️ 弱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⬇️ 低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⬇️ 下降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⬇️⬇️ 大減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❌❌ **強負面**</w:t>
            </w:r>
          </w:p>
        </w:tc>
      </w:tr>
      <w:tr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**基礎設施**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➡️ 穩定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➡️ 穩定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➡️ 穩定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⬆️ 增長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➡️ 穩定</w:t>
            </w:r>
          </w:p>
        </w:tc>
        <w:tc>
          <w:tcPr>
            <w:tcW w:type="dxa" w:w="1290"/>
          </w:tcPr>
          <w:p>
            <w:r>
              <w:rPr>
                <w:rFonts w:ascii="Arial" w:hAnsi="Arial"/>
                <w:sz w:val="20"/>
              </w:rPr>
              <w:t>✅ **正面**</w:t>
            </w:r>
          </w:p>
        </w:tc>
      </w:tr>
    </w:tbl>
    <w:p>
      <w:pPr/>
      <w:r>
        <w:rPr>
          <w:rFonts w:ascii="Arial" w:hAnsi="Arial"/>
          <w:b/>
          <w:sz w:val="24"/>
        </w:rPr>
        <w:t>詳細邏輯:</w:t>
      </w:r>
    </w:p>
    <w:p>
      <w:pPr>
        <w:pStyle w:val="ListNumber"/>
      </w:pPr>
      <w:r>
        <w:rPr>
          <w:rFonts w:ascii="Arial" w:hAnsi="Arial"/>
          <w:b/>
          <w:sz w:val="24"/>
        </w:rPr>
        <w:t>直接貸款業務:</w:t>
      </w:r>
    </w:p>
    <w:p>
      <w:pPr/>
      <w:r>
        <w:rPr>
          <w:rFonts w:ascii="Arial" w:hAnsi="Arial"/>
          <w:sz w:val="24"/>
        </w:rPr>
        <w:t xml:space="preserve">   - ✅✅ </w:t>
      </w:r>
      <w:r>
        <w:rPr>
          <w:rFonts w:ascii="Arial" w:hAnsi="Arial"/>
          <w:b/>
          <w:sz w:val="24"/>
        </w:rPr>
        <w:t>銀行持續退出:</w:t>
      </w:r>
      <w:r>
        <w:rPr>
          <w:rFonts w:ascii="Arial" w:hAnsi="Arial"/>
          <w:sz w:val="24"/>
        </w:rPr>
        <w:t xml:space="preserve"> 高利率環境下銀行資本成本高,繼續退出中端市場</w:t>
      </w:r>
    </w:p>
    <w:p>
      <w:pPr/>
      <w:r>
        <w:rPr>
          <w:rFonts w:ascii="Arial" w:hAnsi="Arial"/>
          <w:sz w:val="24"/>
        </w:rPr>
        <w:t xml:space="preserve">   - ✅✅ </w:t>
      </w:r>
      <w:r>
        <w:rPr>
          <w:rFonts w:ascii="Arial" w:hAnsi="Arial"/>
          <w:b/>
          <w:sz w:val="24"/>
        </w:rPr>
        <w:t>企業融資需求剛性:</w:t>
      </w:r>
      <w:r>
        <w:rPr>
          <w:rFonts w:ascii="Arial" w:hAnsi="Arial"/>
          <w:sz w:val="24"/>
        </w:rPr>
        <w:t xml:space="preserve"> 再融資潮持續,債務到期必須展期</w:t>
      </w:r>
    </w:p>
    <w:p>
      <w:pPr/>
      <w:r>
        <w:rPr>
          <w:rFonts w:ascii="Arial" w:hAnsi="Arial"/>
          <w:sz w:val="24"/>
        </w:rPr>
        <w:t xml:space="preserve">   - ✅ </w:t>
      </w:r>
      <w:r>
        <w:rPr>
          <w:rFonts w:ascii="Arial" w:hAnsi="Arial"/>
          <w:b/>
          <w:sz w:val="24"/>
        </w:rPr>
        <w:t>利差維持高位:</w:t>
      </w:r>
      <w:r>
        <w:rPr>
          <w:rFonts w:ascii="Arial" w:hAnsi="Arial"/>
          <w:sz w:val="24"/>
        </w:rPr>
        <w:t xml:space="preserve"> SOFR+600-800bps,吸引投資者</w:t>
      </w:r>
    </w:p>
    <w:p>
      <w:pPr/>
      <w:r>
        <w:rPr>
          <w:rFonts w:ascii="Arial" w:hAnsi="Arial"/>
          <w:sz w:val="24"/>
        </w:rPr>
        <w:t xml:space="preserve">   - ⚠️ </w:t>
      </w:r>
      <w:r>
        <w:rPr>
          <w:rFonts w:ascii="Arial" w:hAnsi="Arial"/>
          <w:b/>
          <w:sz w:val="24"/>
        </w:rPr>
        <w:t>違約率上升風險:</w:t>
      </w:r>
      <w:r>
        <w:rPr>
          <w:rFonts w:ascii="Arial" w:hAnsi="Arial"/>
          <w:sz w:val="24"/>
        </w:rPr>
        <w:t xml:space="preserve"> 但中端市場企業違約率仍可控(歷史5-8%)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淨影響: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這是Ares最大受益情境</w:t>
      </w:r>
      <w:r>
        <w:rPr>
          <w:rFonts w:ascii="Arial" w:hAnsi="Arial"/>
          <w:sz w:val="24"/>
        </w:rPr>
        <w:t>,直接貸款AUM年增30-40%</w:t>
      </w:r>
    </w:p>
    <w:p>
      <w:pPr>
        <w:pStyle w:val="ListNumber"/>
      </w:pPr>
      <w:r>
        <w:rPr>
          <w:rFonts w:ascii="Arial" w:hAnsi="Arial"/>
          <w:b/>
          <w:sz w:val="24"/>
        </w:rPr>
        <w:t>私募股權業務:</w:t>
      </w:r>
    </w:p>
    <w:p>
      <w:pPr/>
      <w:r>
        <w:rPr>
          <w:rFonts w:ascii="Arial" w:hAnsi="Arial"/>
          <w:sz w:val="24"/>
        </w:rPr>
        <w:t xml:space="preserve">   - ❌ </w:t>
      </w:r>
      <w:r>
        <w:rPr>
          <w:rFonts w:ascii="Arial" w:hAnsi="Arial"/>
          <w:b/>
          <w:sz w:val="24"/>
        </w:rPr>
        <w:t>估值壓縮:</w:t>
      </w:r>
      <w:r>
        <w:rPr>
          <w:rFonts w:ascii="Arial" w:hAnsi="Arial"/>
          <w:sz w:val="24"/>
        </w:rPr>
        <w:t xml:space="preserve"> 折現率高企,EBITDA倍數下降</w:t>
      </w:r>
    </w:p>
    <w:p>
      <w:pPr/>
      <w:r>
        <w:rPr>
          <w:rFonts w:ascii="Arial" w:hAnsi="Arial"/>
          <w:sz w:val="24"/>
        </w:rPr>
        <w:t xml:space="preserve">   - ❌ </w:t>
      </w:r>
      <w:r>
        <w:rPr>
          <w:rFonts w:ascii="Arial" w:hAnsi="Arial"/>
          <w:b/>
          <w:sz w:val="24"/>
        </w:rPr>
        <w:t>退出困難:</w:t>
      </w:r>
      <w:r>
        <w:rPr>
          <w:rFonts w:ascii="Arial" w:hAnsi="Arial"/>
          <w:sz w:val="24"/>
        </w:rPr>
        <w:t xml:space="preserve"> IPO市場冰封,併購估值偏低</w:t>
      </w:r>
    </w:p>
    <w:p>
      <w:pPr/>
      <w:r>
        <w:rPr>
          <w:rFonts w:ascii="Arial" w:hAnsi="Arial"/>
          <w:sz w:val="24"/>
        </w:rPr>
        <w:t xml:space="preserve">   - ❌ </w:t>
      </w:r>
      <w:r>
        <w:rPr>
          <w:rFonts w:ascii="Arial" w:hAnsi="Arial"/>
          <w:b/>
          <w:sz w:val="24"/>
        </w:rPr>
        <w:t>LBO交易停滯:</w:t>
      </w:r>
      <w:r>
        <w:rPr>
          <w:rFonts w:ascii="Arial" w:hAnsi="Arial"/>
          <w:sz w:val="24"/>
        </w:rPr>
        <w:t xml:space="preserve"> 槓桿成本過高,新交易IRR不達標</w:t>
      </w:r>
    </w:p>
    <w:p>
      <w:pPr/>
      <w:r>
        <w:rPr>
          <w:rFonts w:ascii="Arial" w:hAnsi="Arial"/>
          <w:sz w:val="24"/>
        </w:rPr>
        <w:t xml:space="preserve">   - ❌ </w:t>
      </w:r>
      <w:r>
        <w:rPr>
          <w:rFonts w:ascii="Arial" w:hAnsi="Arial"/>
          <w:b/>
          <w:sz w:val="24"/>
        </w:rPr>
        <w:t>既有投資組合承壓:</w:t>
      </w:r>
      <w:r>
        <w:rPr>
          <w:rFonts w:ascii="Arial" w:hAnsi="Arial"/>
          <w:sz w:val="24"/>
        </w:rPr>
        <w:t xml:space="preserve"> 企業EBITDA增長放緩,槓桿負擔重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淨影響:</w:t>
      </w:r>
      <w:r>
        <w:rPr>
          <w:rFonts w:ascii="Arial" w:hAnsi="Arial"/>
          <w:sz w:val="24"/>
        </w:rPr>
        <w:t xml:space="preserve"> 業績費銳減,新基金募資困難</w:t>
      </w:r>
    </w:p>
    <w:p>
      <w:pPr>
        <w:pStyle w:val="ListNumber"/>
      </w:pPr>
      <w:r>
        <w:rPr>
          <w:rFonts w:ascii="Arial" w:hAnsi="Arial"/>
          <w:b/>
          <w:sz w:val="24"/>
        </w:rPr>
        <w:t>房地產業務:</w:t>
      </w:r>
    </w:p>
    <w:p>
      <w:pPr/>
      <w:r>
        <w:rPr>
          <w:rFonts w:ascii="Arial" w:hAnsi="Arial"/>
          <w:sz w:val="24"/>
        </w:rPr>
        <w:t xml:space="preserve">   - ❌❌ </w:t>
      </w:r>
      <w:r>
        <w:rPr>
          <w:rFonts w:ascii="Arial" w:hAnsi="Arial"/>
          <w:b/>
          <w:sz w:val="24"/>
        </w:rPr>
        <w:t>估值大幅下跌:</w:t>
      </w:r>
      <w:r>
        <w:rPr>
          <w:rFonts w:ascii="Arial" w:hAnsi="Arial"/>
          <w:sz w:val="24"/>
        </w:rPr>
        <w:t xml:space="preserve"> Cap Rate上升,NAV減值</w:t>
      </w:r>
    </w:p>
    <w:p>
      <w:pPr/>
      <w:r>
        <w:rPr>
          <w:rFonts w:ascii="Arial" w:hAnsi="Arial"/>
          <w:sz w:val="24"/>
        </w:rPr>
        <w:t xml:space="preserve">   - ❌ </w:t>
      </w:r>
      <w:r>
        <w:rPr>
          <w:rFonts w:ascii="Arial" w:hAnsi="Arial"/>
          <w:b/>
          <w:sz w:val="24"/>
        </w:rPr>
        <w:t>再融資危機:</w:t>
      </w:r>
      <w:r>
        <w:rPr>
          <w:rFonts w:ascii="Arial" w:hAnsi="Arial"/>
          <w:sz w:val="24"/>
        </w:rPr>
        <w:t xml:space="preserve"> 商業地產貸款到期,利率飆升</w:t>
      </w:r>
    </w:p>
    <w:p>
      <w:pPr/>
      <w:r>
        <w:rPr>
          <w:rFonts w:ascii="Arial" w:hAnsi="Arial"/>
          <w:sz w:val="24"/>
        </w:rPr>
        <w:t xml:space="preserve">   - ❌ </w:t>
      </w:r>
      <w:r>
        <w:rPr>
          <w:rFonts w:ascii="Arial" w:hAnsi="Arial"/>
          <w:b/>
          <w:sz w:val="24"/>
        </w:rPr>
        <w:t>租金增長放緩:</w:t>
      </w:r>
      <w:r>
        <w:rPr>
          <w:rFonts w:ascii="Arial" w:hAnsi="Arial"/>
          <w:sz w:val="24"/>
        </w:rPr>
        <w:t xml:space="preserve"> 經濟放緩,空置率上升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淨影響:</w:t>
      </w:r>
      <w:r>
        <w:rPr>
          <w:rFonts w:ascii="Arial" w:hAnsi="Arial"/>
          <w:sz w:val="24"/>
        </w:rPr>
        <w:t xml:space="preserve"> 房地產基金面臨嚴重挑戰,可能出現投資者贖回</w:t>
      </w:r>
    </w:p>
    <w:p>
      <w:pPr>
        <w:pStyle w:val="ListNumber"/>
      </w:pPr>
      <w:r>
        <w:rPr>
          <w:rFonts w:ascii="Arial" w:hAnsi="Arial"/>
          <w:b/>
          <w:sz w:val="24"/>
        </w:rPr>
        <w:t>基礎設施業務:</w:t>
      </w:r>
    </w:p>
    <w:p>
      <w:pPr/>
      <w:r>
        <w:rPr>
          <w:rFonts w:ascii="Arial" w:hAnsi="Arial"/>
          <w:sz w:val="24"/>
        </w:rPr>
        <w:t xml:space="preserve">   - ➡️ </w:t>
      </w:r>
      <w:r>
        <w:rPr>
          <w:rFonts w:ascii="Arial" w:hAnsi="Arial"/>
          <w:b/>
          <w:sz w:val="24"/>
        </w:rPr>
        <w:t>長期合約保護:</w:t>
      </w:r>
      <w:r>
        <w:rPr>
          <w:rFonts w:ascii="Arial" w:hAnsi="Arial"/>
          <w:sz w:val="24"/>
        </w:rPr>
        <w:t xml:space="preserve"> 收費/收入機制通脹掛鈎</w:t>
      </w:r>
    </w:p>
    <w:p>
      <w:pPr/>
      <w:r>
        <w:rPr>
          <w:rFonts w:ascii="Arial" w:hAnsi="Arial"/>
          <w:sz w:val="24"/>
        </w:rPr>
        <w:t xml:space="preserve">   - ✅ </w:t>
      </w:r>
      <w:r>
        <w:rPr>
          <w:rFonts w:ascii="Arial" w:hAnsi="Arial"/>
          <w:b/>
          <w:sz w:val="24"/>
        </w:rPr>
        <w:t>防禦性吸引力:</w:t>
      </w:r>
      <w:r>
        <w:rPr>
          <w:rFonts w:ascii="Arial" w:hAnsi="Arial"/>
          <w:sz w:val="24"/>
        </w:rPr>
        <w:t xml:space="preserve"> 機構投資者追求穩定現金流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淨影響:</w:t>
      </w:r>
      <w:r>
        <w:rPr>
          <w:rFonts w:ascii="Arial" w:hAnsi="Arial"/>
          <w:sz w:val="24"/>
        </w:rPr>
        <w:t xml:space="preserve"> 相對抗跌,成為配置亮點</w:t>
      </w:r>
    </w:p>
    <w:p>
      <w:pPr/>
      <w:r>
        <w:rPr>
          <w:rFonts w:ascii="Arial" w:hAnsi="Arial"/>
          <w:b/>
          <w:sz w:val="24"/>
        </w:rPr>
        <w:t>整體影響 (高利率情境):</w:t>
      </w:r>
    </w:p>
    <w:p>
      <w:pPr>
        <w:pStyle w:val="ListBullet"/>
      </w:pPr>
      <w:r>
        <w:rPr>
          <w:rFonts w:ascii="Arial" w:hAnsi="Arial"/>
          <w:b/>
          <w:sz w:val="24"/>
        </w:rPr>
        <w:t>2026年預估影響:</w:t>
      </w:r>
      <w:r>
        <w:rPr>
          <w:rFonts w:ascii="Arial" w:hAnsi="Arial"/>
          <w:sz w:val="24"/>
        </w:rPr>
        <w:t xml:space="preserve"> 營收增長+15-25%,但業績費佔比降至10-15%</w:t>
      </w:r>
    </w:p>
    <w:p>
      <w:pPr>
        <w:pStyle w:val="ListBullet"/>
      </w:pPr>
      <w:r>
        <w:rPr>
          <w:rFonts w:ascii="Arial" w:hAnsi="Arial"/>
          <w:b/>
          <w:sz w:val="24"/>
        </w:rPr>
        <w:t>股價表現:</w:t>
      </w:r>
      <w:r>
        <w:rPr>
          <w:rFonts w:ascii="Arial" w:hAnsi="Arial"/>
          <w:sz w:val="24"/>
        </w:rPr>
        <w:t xml:space="preserve"> 震盪,P/E倍數可能壓縮至30-40x</w:t>
      </w:r>
    </w:p>
    <w:p>
      <w:pPr>
        <w:pStyle w:val="ListBullet"/>
      </w:pPr>
      <w:r>
        <w:rPr>
          <w:rFonts w:ascii="Arial" w:hAnsi="Arial"/>
          <w:b/>
          <w:sz w:val="24"/>
        </w:rPr>
        <w:t>關鍵機會:</w:t>
      </w:r>
      <w:r>
        <w:rPr>
          <w:rFonts w:ascii="Arial" w:hAnsi="Arial"/>
          <w:sz w:val="24"/>
        </w:rPr>
        <w:t xml:space="preserve"> 市場危機中收購困境資產,為下一輪週期蓄能</w:t>
      </w:r>
    </w:p>
    <w:p>
      <w:r>
        <w:t>__________________________________________________</w:t>
      </w:r>
    </w:p>
    <w:p>
      <w:pPr>
        <w:pStyle w:val="Heading3"/>
      </w:pPr>
      <w:r>
        <w:t>8.4 **量化影響估算**</w:t>
      </w:r>
    </w:p>
    <w:p>
      <w:pPr/>
      <w:r>
        <w:rPr>
          <w:rFonts w:ascii="Arial" w:hAnsi="Arial"/>
          <w:b/>
          <w:sz w:val="24"/>
        </w:rPr>
        <w:t>假設基準情境 (2026年):</w:t>
      </w:r>
    </w:p>
    <w:p>
      <w:pPr>
        <w:pStyle w:val="ListBullet"/>
      </w:pPr>
      <w:r>
        <w:rPr>
          <w:rFonts w:ascii="Arial" w:hAnsi="Arial"/>
          <w:sz w:val="24"/>
        </w:rPr>
        <w:t>營收: $70億美元 (+8%,保守)</w:t>
      </w:r>
    </w:p>
    <w:p>
      <w:pPr>
        <w:pStyle w:val="ListBullet"/>
      </w:pPr>
      <w:r>
        <w:rPr>
          <w:rFonts w:ascii="Arial" w:hAnsi="Arial"/>
          <w:sz w:val="24"/>
        </w:rPr>
        <w:t>管理費收入: $52億 (74%)</w:t>
      </w:r>
    </w:p>
    <w:p>
      <w:pPr>
        <w:pStyle w:val="ListBullet"/>
      </w:pPr>
      <w:r>
        <w:rPr>
          <w:rFonts w:ascii="Arial" w:hAnsi="Arial"/>
          <w:sz w:val="24"/>
        </w:rPr>
        <w:t>業績費收入: $12億 (17%)</w:t>
      </w:r>
    </w:p>
    <w:p>
      <w:pPr>
        <w:pStyle w:val="ListBullet"/>
      </w:pPr>
      <w:r>
        <w:rPr>
          <w:rFonts w:ascii="Arial" w:hAnsi="Arial"/>
          <w:sz w:val="24"/>
        </w:rPr>
        <w:t>淨利潤: $6億</w:t>
      </w:r>
    </w:p>
    <w:p>
      <w:pPr>
        <w:pStyle w:val="ListBullet"/>
      </w:pPr>
      <w:r>
        <w:rPr>
          <w:rFonts w:ascii="Arial" w:hAnsi="Arial"/>
          <w:sz w:val="24"/>
        </w:rPr>
        <w:t>EPS: $2.50</w:t>
      </w:r>
    </w:p>
    <w:p>
      <w:pPr/>
      <w:r>
        <w:rPr>
          <w:rFonts w:ascii="Arial" w:hAnsi="Arial"/>
          <w:b/>
          <w:sz w:val="24"/>
        </w:rPr>
        <w:t>情境一:降息100bps (降至4.0-4.5%)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指標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變化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2026年預估值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**營收**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+15%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$80.5億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**管理費收入**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+10%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$57.2億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**業績費收入**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+50%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$18億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**淨利潤**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+35%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$8.1億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**EPS**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+30%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$3.25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**股價目標**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+40-50%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$187-200</w:t>
            </w:r>
          </w:p>
        </w:tc>
      </w:tr>
    </w:tbl>
    <w:p>
      <w:pPr/>
      <w:r>
        <w:rPr>
          <w:rFonts w:ascii="Arial" w:hAnsi="Arial"/>
          <w:b/>
          <w:sz w:val="24"/>
        </w:rPr>
        <w:t>情境二:升息或維持高利率 (5.5%+)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指標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變化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2026年預估值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**營收**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+5%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$73.5億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**管理費收入**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+12%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$58.2億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**業績費收入**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-30%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$8.4億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**淨利潤**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-10%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$5.4億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**EPS**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-15%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$2.13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**股價目標**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-10-20%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$107-120</w:t>
            </w:r>
          </w:p>
        </w:tc>
      </w:tr>
    </w:tbl>
    <w:p>
      <w:pPr/>
      <w:r>
        <w:rPr>
          <w:rFonts w:ascii="Arial" w:hAnsi="Arial"/>
          <w:b/>
          <w:sz w:val="24"/>
        </w:rPr>
        <w:t>情境三:經濟衰退+降息 (最壞情境)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指標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變化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b/>
                <w:sz w:val="22"/>
              </w:rPr>
              <w:t>2026年預估值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**營收**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-5%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$66.5億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**管理費收入**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+5%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$54.6億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**業績費收入**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-60%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$4.8億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**淨利潤**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-40%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$3.6億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**EPS**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-45%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$1.38</w:t>
            </w:r>
          </w:p>
        </w:tc>
      </w:tr>
      <w:tr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**股價目標**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-35-45%</w:t>
            </w:r>
          </w:p>
        </w:tc>
        <w:tc>
          <w:tcPr>
            <w:tcW w:type="dxa" w:w="3010"/>
          </w:tcPr>
          <w:p>
            <w:r>
              <w:rPr>
                <w:rFonts w:ascii="Arial" w:hAnsi="Arial"/>
                <w:sz w:val="20"/>
              </w:rPr>
              <w:t>$73-87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8.5 **聯準會政策路徑的關鍵變數**</w:t>
      </w:r>
    </w:p>
    <w:p>
      <w:pPr/>
      <w:r>
        <w:rPr>
          <w:rFonts w:ascii="Arial" w:hAnsi="Arial"/>
          <w:b/>
          <w:sz w:val="24"/>
        </w:rPr>
        <w:t>Ares 表現的核心決定因素 (優先順序):</w:t>
      </w:r>
    </w:p>
    <w:p>
      <w:pPr>
        <w:pStyle w:val="ListNumber"/>
      </w:pPr>
      <w:r>
        <w:rPr>
          <w:rFonts w:ascii="Arial" w:hAnsi="Arial"/>
          <w:b/>
          <w:sz w:val="24"/>
        </w:rPr>
        <w:t>私募信貸市場結構性增長 (權重40%)</w:t>
      </w:r>
    </w:p>
    <w:p>
      <w:pPr/>
      <w:r>
        <w:rPr>
          <w:rFonts w:ascii="Arial" w:hAnsi="Arial"/>
          <w:sz w:val="24"/>
        </w:rPr>
        <w:t xml:space="preserve">   - 不論利率升降,只要銀行監管趨嚴,直接貸款需求就會持續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對Ares最重要</w:t>
      </w:r>
    </w:p>
    <w:p>
      <w:pPr>
        <w:pStyle w:val="ListNumber"/>
      </w:pPr>
      <w:r>
        <w:rPr>
          <w:rFonts w:ascii="Arial" w:hAnsi="Arial"/>
          <w:b/>
          <w:sz w:val="24"/>
        </w:rPr>
        <w:t>經濟硬著陸 vs 軟著陸 (權重35%)</w:t>
      </w:r>
    </w:p>
    <w:p>
      <w:pPr/>
      <w:r>
        <w:rPr>
          <w:rFonts w:ascii="Arial" w:hAnsi="Arial"/>
          <w:sz w:val="24"/>
        </w:rPr>
        <w:t xml:space="preserve">   - 軟著陸 = 最佳情境 (需求+估值雙升)</w:t>
      </w:r>
    </w:p>
    <w:p>
      <w:pPr/>
      <w:r>
        <w:rPr>
          <w:rFonts w:ascii="Arial" w:hAnsi="Arial"/>
          <w:sz w:val="24"/>
        </w:rPr>
        <w:t xml:space="preserve">   - 硬著陸 = 災難 (違約率飆升)</w:t>
      </w:r>
    </w:p>
    <w:p>
      <w:pPr>
        <w:pStyle w:val="ListNumber"/>
      </w:pPr>
      <w:r>
        <w:rPr>
          <w:rFonts w:ascii="Arial" w:hAnsi="Arial"/>
          <w:b/>
          <w:sz w:val="24"/>
        </w:rPr>
        <w:t>利率絕對水平 (權重15%)</w:t>
      </w:r>
    </w:p>
    <w:p>
      <w:pPr/>
      <w:r>
        <w:rPr>
          <w:rFonts w:ascii="Arial" w:hAnsi="Arial"/>
          <w:sz w:val="24"/>
        </w:rPr>
        <w:t xml:space="preserve">   - 3-4% = PE/RE最佳</w:t>
      </w:r>
    </w:p>
    <w:p>
      <w:pPr/>
      <w:r>
        <w:rPr>
          <w:rFonts w:ascii="Arial" w:hAnsi="Arial"/>
          <w:sz w:val="24"/>
        </w:rPr>
        <w:t xml:space="preserve">   - 5-6% = 直接貸款最佳</w:t>
      </w:r>
    </w:p>
    <w:p>
      <w:pPr>
        <w:pStyle w:val="ListNumber"/>
      </w:pPr>
      <w:r>
        <w:rPr>
          <w:rFonts w:ascii="Arial" w:hAnsi="Arial"/>
          <w:b/>
          <w:sz w:val="24"/>
        </w:rPr>
        <w:t>退出環境 (權重10%)</w:t>
      </w:r>
    </w:p>
    <w:p>
      <w:pPr/>
      <w:r>
        <w:rPr>
          <w:rFonts w:ascii="Arial" w:hAnsi="Arial"/>
          <w:sz w:val="24"/>
        </w:rPr>
        <w:t xml:space="preserve">   - IPO/M&amp;A市場活躍度決定業績費</w:t>
      </w:r>
    </w:p>
    <w:p>
      <w:pPr/>
      <w:r>
        <w:rPr>
          <w:rFonts w:ascii="Arial" w:hAnsi="Arial"/>
          <w:b/>
          <w:sz w:val="24"/>
        </w:rPr>
        <w:t>結論:</w:t>
      </w:r>
    </w:p>
    <w:p>
      <w:pPr>
        <w:pStyle w:val="ListBullet"/>
      </w:pPr>
      <w:r>
        <w:rPr>
          <w:rFonts w:ascii="Arial" w:hAnsi="Arial"/>
          <w:b/>
          <w:sz w:val="24"/>
        </w:rPr>
        <w:t>最佳情境:</w:t>
      </w:r>
      <w:r>
        <w:rPr>
          <w:rFonts w:ascii="Arial" w:hAnsi="Arial"/>
          <w:sz w:val="24"/>
        </w:rPr>
        <w:t xml:space="preserve"> 軟著陸 + 緩慢降息至3.5-4% → Ares股價上漲40-60%</w:t>
      </w:r>
    </w:p>
    <w:p>
      <w:pPr>
        <w:pStyle w:val="ListBullet"/>
      </w:pPr>
      <w:r>
        <w:rPr>
          <w:rFonts w:ascii="Arial" w:hAnsi="Arial"/>
          <w:b/>
          <w:sz w:val="24"/>
        </w:rPr>
        <w:t>次佳情境:</w:t>
      </w:r>
      <w:r>
        <w:rPr>
          <w:rFonts w:ascii="Arial" w:hAnsi="Arial"/>
          <w:sz w:val="24"/>
        </w:rPr>
        <w:t xml:space="preserve"> 維持高利率但經濟穩定 → Ares營收穩增,股價持平至+20%</w:t>
      </w:r>
    </w:p>
    <w:p>
      <w:pPr>
        <w:pStyle w:val="ListBullet"/>
      </w:pPr>
      <w:r>
        <w:rPr>
          <w:rFonts w:ascii="Arial" w:hAnsi="Arial"/>
          <w:b/>
          <w:sz w:val="24"/>
        </w:rPr>
        <w:t>最差情境:</w:t>
      </w:r>
      <w:r>
        <w:rPr>
          <w:rFonts w:ascii="Arial" w:hAnsi="Arial"/>
          <w:sz w:val="24"/>
        </w:rPr>
        <w:t xml:space="preserve"> 硬著陸 + 大幅降息 → Ares股價下跌30-50%</w:t>
      </w:r>
    </w:p>
    <w:p>
      <w:pPr/>
      <w:r>
        <w:rPr>
          <w:rFonts w:ascii="Arial" w:hAnsi="Arial"/>
          <w:b/>
          <w:sz w:val="24"/>
        </w:rPr>
        <w:t>2026年聯準會政策預判:</w:t>
      </w:r>
    </w:p>
    <w:p>
      <w:pPr/>
      <w:r>
        <w:rPr>
          <w:rFonts w:ascii="Arial" w:hAnsi="Arial"/>
          <w:sz w:val="24"/>
        </w:rPr>
        <w:t>基於當前(2026年2月)情勢,預估:</w:t>
      </w:r>
    </w:p>
    <w:p>
      <w:pPr>
        <w:pStyle w:val="ListBullet"/>
      </w:pPr>
      <w:r>
        <w:rPr>
          <w:rFonts w:ascii="Arial" w:hAnsi="Arial"/>
          <w:b/>
          <w:sz w:val="24"/>
        </w:rPr>
        <w:t>Q1-Q2:</w:t>
      </w:r>
      <w:r>
        <w:rPr>
          <w:rFonts w:ascii="Arial" w:hAnsi="Arial"/>
          <w:sz w:val="24"/>
        </w:rPr>
        <w:t xml:space="preserve"> 維持5.0-5.25%,觀察通脹數據</w:t>
      </w:r>
    </w:p>
    <w:p>
      <w:pPr>
        <w:pStyle w:val="ListBullet"/>
      </w:pPr>
      <w:r>
        <w:rPr>
          <w:rFonts w:ascii="Arial" w:hAnsi="Arial"/>
          <w:b/>
          <w:sz w:val="24"/>
        </w:rPr>
        <w:t>Q3-Q4:</w:t>
      </w:r>
      <w:r>
        <w:rPr>
          <w:rFonts w:ascii="Arial" w:hAnsi="Arial"/>
          <w:sz w:val="24"/>
        </w:rPr>
        <w:t xml:space="preserve"> 降息50-75bps至4.5%左右</w:t>
      </w:r>
    </w:p>
    <w:p>
      <w:pPr>
        <w:pStyle w:val="ListBullet"/>
      </w:pPr>
      <w:r>
        <w:rPr>
          <w:rFonts w:ascii="Arial" w:hAnsi="Arial"/>
          <w:b/>
          <w:sz w:val="24"/>
        </w:rPr>
        <w:t>風險:</w:t>
      </w:r>
      <w:r>
        <w:rPr>
          <w:rFonts w:ascii="Arial" w:hAnsi="Arial"/>
          <w:sz w:val="24"/>
        </w:rPr>
        <w:t xml:space="preserve"> 若通脹反彈,可能延後降息</w:t>
      </w:r>
    </w:p>
    <w:p>
      <w:pPr/>
      <w:r>
        <w:rPr>
          <w:rFonts w:ascii="Arial" w:hAnsi="Arial"/>
          <w:b/>
          <w:sz w:val="24"/>
        </w:rPr>
        <w:t>對Ares的影響:</w:t>
      </w:r>
    </w:p>
    <w:p>
      <w:pPr>
        <w:pStyle w:val="ListBullet"/>
      </w:pPr>
      <w:r>
        <w:rPr>
          <w:rFonts w:ascii="Arial" w:hAnsi="Arial"/>
          <w:b/>
          <w:sz w:val="24"/>
        </w:rPr>
        <w:t>上半年:</w:t>
      </w:r>
      <w:r>
        <w:rPr>
          <w:rFonts w:ascii="Arial" w:hAnsi="Arial"/>
          <w:sz w:val="24"/>
        </w:rPr>
        <w:t xml:space="preserve"> 直接貸款業務持續強勁</w:t>
      </w:r>
    </w:p>
    <w:p>
      <w:pPr>
        <w:pStyle w:val="ListBullet"/>
      </w:pPr>
      <w:r>
        <w:rPr>
          <w:rFonts w:ascii="Arial" w:hAnsi="Arial"/>
          <w:b/>
          <w:sz w:val="24"/>
        </w:rPr>
        <w:t>下半年:</w:t>
      </w:r>
      <w:r>
        <w:rPr>
          <w:rFonts w:ascii="Arial" w:hAnsi="Arial"/>
          <w:sz w:val="24"/>
        </w:rPr>
        <w:t xml:space="preserve"> PE/RE業務復甦初現,業績費開始改善</w:t>
      </w:r>
    </w:p>
    <w:p>
      <w:pPr>
        <w:pStyle w:val="ListBullet"/>
      </w:pPr>
      <w:r>
        <w:rPr>
          <w:rFonts w:ascii="Arial" w:hAnsi="Arial"/>
          <w:b/>
          <w:sz w:val="24"/>
        </w:rPr>
        <w:t>全年:</w:t>
      </w:r>
      <w:r>
        <w:rPr>
          <w:rFonts w:ascii="Arial" w:hAnsi="Arial"/>
          <w:sz w:val="24"/>
        </w:rPr>
        <w:t xml:space="preserve"> 預估營收$75-80億(+16-24%),EPS $2.80-3.00</w:t>
      </w:r>
    </w:p>
    <w:p>
      <w:r>
        <w:t>__________________________________________________</w:t>
      </w:r>
    </w:p>
    <w:p>
      <w:pPr>
        <w:pStyle w:val="Heading2"/>
      </w:pPr>
      <w:r>
        <w:t>九、風險因素</w:t>
      </w:r>
    </w:p>
    <w:p>
      <w:pPr>
        <w:pStyle w:val="Heading3"/>
      </w:pPr>
      <w:r>
        <w:t>9.1 宏觀經濟風險</w:t>
      </w:r>
    </w:p>
    <w:p>
      <w:pPr>
        <w:pStyle w:val="ListNumber"/>
      </w:pPr>
      <w:r>
        <w:rPr>
          <w:rFonts w:ascii="Arial" w:hAnsi="Arial"/>
          <w:b/>
          <w:sz w:val="24"/>
        </w:rPr>
        <w:t>經濟衰退:</w:t>
      </w:r>
      <w:r>
        <w:rPr>
          <w:rFonts w:ascii="Arial" w:hAnsi="Arial"/>
          <w:sz w:val="24"/>
        </w:rPr>
        <w:t xml:space="preserve"> 企業違約率上升,投資組合減值</w:t>
      </w:r>
    </w:p>
    <w:p>
      <w:pPr>
        <w:pStyle w:val="ListNumber"/>
      </w:pPr>
      <w:r>
        <w:rPr>
          <w:rFonts w:ascii="Arial" w:hAnsi="Arial"/>
          <w:b/>
          <w:sz w:val="24"/>
        </w:rPr>
        <w:t>利率急劇波動:</w:t>
      </w:r>
      <w:r>
        <w:rPr>
          <w:rFonts w:ascii="Arial" w:hAnsi="Arial"/>
          <w:sz w:val="24"/>
        </w:rPr>
        <w:t xml:space="preserve"> 募資和部署節奏被打亂</w:t>
      </w:r>
    </w:p>
    <w:p>
      <w:pPr>
        <w:pStyle w:val="ListNumber"/>
      </w:pPr>
      <w:r>
        <w:rPr>
          <w:rFonts w:ascii="Arial" w:hAnsi="Arial"/>
          <w:b/>
          <w:sz w:val="24"/>
        </w:rPr>
        <w:t>信貸市場流動性緊縮:</w:t>
      </w:r>
      <w:r>
        <w:rPr>
          <w:rFonts w:ascii="Arial" w:hAnsi="Arial"/>
          <w:sz w:val="24"/>
        </w:rPr>
        <w:t xml:space="preserve"> 私募信貸二級市場流動性差,難以退出</w:t>
      </w:r>
    </w:p>
    <w:p>
      <w:pPr>
        <w:pStyle w:val="Heading3"/>
      </w:pPr>
      <w:r>
        <w:t>9.2 競爭風險</w:t>
      </w:r>
    </w:p>
    <w:p>
      <w:pPr>
        <w:pStyle w:val="ListNumber"/>
      </w:pPr>
      <w:r>
        <w:rPr>
          <w:rFonts w:ascii="Arial" w:hAnsi="Arial"/>
          <w:b/>
          <w:sz w:val="24"/>
        </w:rPr>
        <w:t>市場份額流失:</w:t>
      </w:r>
      <w:r>
        <w:rPr>
          <w:rFonts w:ascii="Arial" w:hAnsi="Arial"/>
          <w:sz w:val="24"/>
        </w:rPr>
        <w:t xml:space="preserve"> Blackstone、Apollo 擴張私募信貸業務</w:t>
      </w:r>
    </w:p>
    <w:p>
      <w:pPr>
        <w:pStyle w:val="ListNumber"/>
      </w:pPr>
      <w:r>
        <w:rPr>
          <w:rFonts w:ascii="Arial" w:hAnsi="Arial"/>
          <w:b/>
          <w:sz w:val="24"/>
        </w:rPr>
        <w:t>管理費率下行:</w:t>
      </w:r>
      <w:r>
        <w:rPr>
          <w:rFonts w:ascii="Arial" w:hAnsi="Arial"/>
          <w:sz w:val="24"/>
        </w:rPr>
        <w:t xml:space="preserve"> 行業競爭加劇,費率從1.5%降至1.0-1.2%</w:t>
      </w:r>
    </w:p>
    <w:p>
      <w:pPr>
        <w:pStyle w:val="ListNumber"/>
      </w:pPr>
      <w:r>
        <w:rPr>
          <w:rFonts w:ascii="Arial" w:hAnsi="Arial"/>
          <w:b/>
          <w:sz w:val="24"/>
        </w:rPr>
        <w:t>人才流失:</w:t>
      </w:r>
      <w:r>
        <w:rPr>
          <w:rFonts w:ascii="Arial" w:hAnsi="Arial"/>
          <w:sz w:val="24"/>
        </w:rPr>
        <w:t xml:space="preserve"> 關鍵投資團隊被挖角</w:t>
      </w:r>
    </w:p>
    <w:p>
      <w:pPr>
        <w:pStyle w:val="Heading3"/>
      </w:pPr>
      <w:r>
        <w:t>9.3 監管風險</w:t>
      </w:r>
    </w:p>
    <w:p>
      <w:pPr>
        <w:pStyle w:val="ListNumber"/>
      </w:pPr>
      <w:r>
        <w:rPr>
          <w:rFonts w:ascii="Arial" w:hAnsi="Arial"/>
          <w:b/>
          <w:sz w:val="24"/>
        </w:rPr>
        <w:t>SEC私募基金新規:</w:t>
      </w:r>
      <w:r>
        <w:rPr>
          <w:rFonts w:ascii="Arial" w:hAnsi="Arial"/>
          <w:sz w:val="24"/>
        </w:rPr>
        <w:t xml:space="preserve"> 費用透明度、利益衝突披露要求</w:t>
      </w:r>
    </w:p>
    <w:p>
      <w:pPr>
        <w:pStyle w:val="ListNumber"/>
      </w:pPr>
      <w:r>
        <w:rPr>
          <w:rFonts w:ascii="Arial" w:hAnsi="Arial"/>
          <w:b/>
          <w:sz w:val="24"/>
        </w:rPr>
        <w:t>稅務政策變化:</w:t>
      </w:r>
      <w:r>
        <w:rPr>
          <w:rFonts w:ascii="Arial" w:hAnsi="Arial"/>
          <w:sz w:val="24"/>
        </w:rPr>
        <w:t xml:space="preserve"> Carried Interest稅率可能從20%提高至普通所得稅率(37%)</w:t>
      </w:r>
    </w:p>
    <w:p>
      <w:pPr>
        <w:pStyle w:val="ListNumber"/>
      </w:pPr>
      <w:r>
        <w:rPr>
          <w:rFonts w:ascii="Arial" w:hAnsi="Arial"/>
          <w:b/>
          <w:sz w:val="24"/>
        </w:rPr>
        <w:t>資本要求提升:</w:t>
      </w:r>
      <w:r>
        <w:rPr>
          <w:rFonts w:ascii="Arial" w:hAnsi="Arial"/>
          <w:sz w:val="24"/>
        </w:rPr>
        <w:t xml:space="preserve"> 對系統重要性金融機構(SIFI)認定</w:t>
      </w:r>
    </w:p>
    <w:p>
      <w:pPr>
        <w:pStyle w:val="Heading3"/>
      </w:pPr>
      <w:r>
        <w:t>9.4 營運風險</w:t>
      </w:r>
    </w:p>
    <w:p>
      <w:pPr>
        <w:pStyle w:val="ListNumber"/>
      </w:pPr>
      <w:r>
        <w:rPr>
          <w:rFonts w:ascii="Arial" w:hAnsi="Arial"/>
          <w:b/>
          <w:sz w:val="24"/>
        </w:rPr>
        <w:t>信用風險管理:</w:t>
      </w:r>
      <w:r>
        <w:rPr>
          <w:rFonts w:ascii="Arial" w:hAnsi="Arial"/>
          <w:sz w:val="24"/>
        </w:rPr>
        <w:t xml:space="preserve"> 直接貸款組合違約率超預期</w:t>
      </w:r>
    </w:p>
    <w:p>
      <w:pPr>
        <w:pStyle w:val="ListNumber"/>
      </w:pPr>
      <w:r>
        <w:rPr>
          <w:rFonts w:ascii="Arial" w:hAnsi="Arial"/>
          <w:b/>
          <w:sz w:val="24"/>
        </w:rPr>
        <w:t>資產負債錯配:</w:t>
      </w:r>
      <w:r>
        <w:rPr>
          <w:rFonts w:ascii="Arial" w:hAnsi="Arial"/>
          <w:sz w:val="24"/>
        </w:rPr>
        <w:t xml:space="preserve"> 開放式基金面臨流動性贖回壓力</w:t>
      </w:r>
    </w:p>
    <w:p>
      <w:pPr>
        <w:pStyle w:val="ListNumber"/>
      </w:pPr>
      <w:r>
        <w:rPr>
          <w:rFonts w:ascii="Arial" w:hAnsi="Arial"/>
          <w:b/>
          <w:sz w:val="24"/>
        </w:rPr>
        <w:t>ESG合規:</w:t>
      </w:r>
      <w:r>
        <w:rPr>
          <w:rFonts w:ascii="Arial" w:hAnsi="Arial"/>
          <w:sz w:val="24"/>
        </w:rPr>
        <w:t xml:space="preserve"> 投資組合ESG爭議影響募資</w:t>
      </w:r>
    </w:p>
    <w:p>
      <w:pPr>
        <w:pStyle w:val="Heading3"/>
      </w:pPr>
      <w:r>
        <w:t>9.5 財務風險</w:t>
      </w:r>
    </w:p>
    <w:p>
      <w:pPr>
        <w:pStyle w:val="ListNumber"/>
      </w:pPr>
      <w:r>
        <w:rPr>
          <w:rFonts w:ascii="Arial" w:hAnsi="Arial"/>
          <w:b/>
          <w:sz w:val="24"/>
        </w:rPr>
        <w:t>高派息比率不可持續:</w:t>
      </w:r>
      <w:r>
        <w:rPr>
          <w:rFonts w:ascii="Arial" w:hAnsi="Arial"/>
          <w:sz w:val="24"/>
        </w:rPr>
        <w:t xml:space="preserve"> 派息超過淨利潤,依賴現金流或舉債</w:t>
      </w:r>
    </w:p>
    <w:p>
      <w:pPr>
        <w:pStyle w:val="ListNumber"/>
      </w:pPr>
      <w:r>
        <w:rPr>
          <w:rFonts w:ascii="Arial" w:hAnsi="Arial"/>
          <w:b/>
          <w:sz w:val="24"/>
        </w:rPr>
        <w:t>股權稀釋:</w:t>
      </w:r>
      <w:r>
        <w:rPr>
          <w:rFonts w:ascii="Arial" w:hAnsi="Arial"/>
          <w:sz w:val="24"/>
        </w:rPr>
        <w:t xml:space="preserve"> 股份數持續增長,稀釋每股價值</w:t>
      </w:r>
    </w:p>
    <w:p>
      <w:pPr>
        <w:pStyle w:val="ListNumber"/>
      </w:pPr>
      <w:r>
        <w:rPr>
          <w:rFonts w:ascii="Arial" w:hAnsi="Arial"/>
          <w:b/>
          <w:sz w:val="24"/>
        </w:rPr>
        <w:t>資產負債表異常:</w:t>
      </w:r>
      <w:r>
        <w:rPr>
          <w:rFonts w:ascii="Arial" w:hAnsi="Arial"/>
          <w:sz w:val="24"/>
        </w:rPr>
        <w:t xml:space="preserve"> 2025年財報數據需進一步澄清</w:t>
      </w:r>
    </w:p>
    <w:p>
      <w:r>
        <w:t>__________________________________________________</w:t>
      </w:r>
    </w:p>
    <w:p>
      <w:pPr>
        <w:pStyle w:val="Heading2"/>
      </w:pPr>
      <w:r>
        <w:t>十、投資建議</w:t>
      </w:r>
    </w:p>
    <w:p>
      <w:pPr>
        <w:pStyle w:val="Heading3"/>
      </w:pPr>
      <w:r>
        <w:t>10.1 目標價與評級</w:t>
      </w:r>
    </w:p>
    <w:p>
      <w:pPr/>
      <w:r>
        <w:rPr>
          <w:rFonts w:ascii="Arial" w:hAnsi="Arial"/>
          <w:b/>
          <w:sz w:val="24"/>
        </w:rPr>
        <w:t>基準情境 (軟著陸+緩慢降息):</w:t>
      </w:r>
    </w:p>
    <w:p>
      <w:pPr>
        <w:pStyle w:val="ListBullet"/>
      </w:pPr>
      <w:r>
        <w:rPr>
          <w:rFonts w:ascii="Arial" w:hAnsi="Arial"/>
          <w:b/>
          <w:sz w:val="24"/>
        </w:rPr>
        <w:t>目標價:</w:t>
      </w:r>
      <w:r>
        <w:rPr>
          <w:rFonts w:ascii="Arial" w:hAnsi="Arial"/>
          <w:sz w:val="24"/>
        </w:rPr>
        <w:t xml:space="preserve"> $165-180 (上漲空間 23-34%)</w:t>
      </w:r>
    </w:p>
    <w:p>
      <w:pPr>
        <w:pStyle w:val="ListBullet"/>
      </w:pPr>
      <w:r>
        <w:rPr>
          <w:rFonts w:ascii="Arial" w:hAnsi="Arial"/>
          <w:b/>
          <w:sz w:val="24"/>
        </w:rPr>
        <w:t>評級: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買入 (Buy)</w:t>
      </w:r>
    </w:p>
    <w:p>
      <w:pPr>
        <w:pStyle w:val="ListBullet"/>
      </w:pPr>
      <w:r>
        <w:rPr>
          <w:rFonts w:ascii="Arial" w:hAnsi="Arial"/>
          <w:b/>
          <w:sz w:val="24"/>
        </w:rPr>
        <w:t>投資期限:</w:t>
      </w:r>
      <w:r>
        <w:rPr>
          <w:rFonts w:ascii="Arial" w:hAnsi="Arial"/>
          <w:sz w:val="24"/>
        </w:rPr>
        <w:t xml:space="preserve"> 12-18個月</w:t>
      </w:r>
    </w:p>
    <w:p>
      <w:pPr/>
      <w:r>
        <w:rPr>
          <w:rFonts w:ascii="Arial" w:hAnsi="Arial"/>
          <w:b/>
          <w:sz w:val="24"/>
        </w:rPr>
        <w:t>情境敏感性分析: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情境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概率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目標價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評級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b/>
                <w:sz w:val="22"/>
              </w:rPr>
              <w:t>回報率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**牛市情境** (快速降息)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25%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$200+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強力買入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+49%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**基準情境** (軟著陸)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50%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$165-180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買入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+23-34%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**熊市情境** (硬著陸)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20%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$90-110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減持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-33-18%</w:t>
            </w:r>
          </w:p>
        </w:tc>
      </w:tr>
      <w:tr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**極端情境** (金融危機)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5%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$60-80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賣出</w:t>
            </w:r>
          </w:p>
        </w:tc>
        <w:tc>
          <w:tcPr>
            <w:tcW w:type="dxa" w:w="1806"/>
          </w:tcPr>
          <w:p>
            <w:r>
              <w:rPr>
                <w:rFonts w:ascii="Arial" w:hAnsi="Arial"/>
                <w:sz w:val="20"/>
              </w:rPr>
              <w:t>-55-40%</w:t>
            </w:r>
          </w:p>
        </w:tc>
      </w:tr>
    </w:tbl>
    <w:p>
      <w:pPr>
        <w:pStyle w:val="Heading3"/>
      </w:pPr>
      <w:r>
        <w:t>10.2 適合投資者類型</w:t>
      </w:r>
    </w:p>
    <w:p>
      <w:pPr/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適合:</w:t>
      </w:r>
    </w:p>
    <w:p>
      <w:pPr>
        <w:pStyle w:val="ListBullet"/>
      </w:pPr>
      <w:r>
        <w:rPr>
          <w:rFonts w:ascii="Arial" w:hAnsi="Arial"/>
          <w:sz w:val="24"/>
        </w:rPr>
        <w:t>看好私募信貸長期結構性增長的投資者</w:t>
      </w:r>
    </w:p>
    <w:p>
      <w:pPr>
        <w:pStyle w:val="ListBullet"/>
      </w:pPr>
      <w:r>
        <w:rPr>
          <w:rFonts w:ascii="Arial" w:hAnsi="Arial"/>
          <w:sz w:val="24"/>
        </w:rPr>
        <w:t>能承受估值波動的成長型投資者</w:t>
      </w:r>
    </w:p>
    <w:p>
      <w:pPr>
        <w:pStyle w:val="ListBullet"/>
      </w:pPr>
      <w:r>
        <w:rPr>
          <w:rFonts w:ascii="Arial" w:hAnsi="Arial"/>
          <w:sz w:val="24"/>
        </w:rPr>
        <w:t>配置另類資產管理公司的機構投資者</w:t>
      </w:r>
    </w:p>
    <w:p>
      <w:pPr/>
      <w:r>
        <w:rPr>
          <w:rFonts w:ascii="Arial" w:hAnsi="Arial"/>
          <w:sz w:val="24"/>
        </w:rPr>
        <w:t xml:space="preserve">❌ </w:t>
      </w:r>
      <w:r>
        <w:rPr>
          <w:rFonts w:ascii="Arial" w:hAnsi="Arial"/>
          <w:b/>
          <w:sz w:val="24"/>
        </w:rPr>
        <w:t>不適合:</w:t>
      </w:r>
    </w:p>
    <w:p>
      <w:pPr>
        <w:pStyle w:val="ListBullet"/>
      </w:pPr>
      <w:r>
        <w:rPr>
          <w:rFonts w:ascii="Arial" w:hAnsi="Arial"/>
          <w:sz w:val="24"/>
        </w:rPr>
        <w:t>追求穩定股息收入的投資者 (派息比率過高)</w:t>
      </w:r>
    </w:p>
    <w:p>
      <w:pPr>
        <w:pStyle w:val="ListBullet"/>
      </w:pPr>
      <w:r>
        <w:rPr>
          <w:rFonts w:ascii="Arial" w:hAnsi="Arial"/>
          <w:sz w:val="24"/>
        </w:rPr>
        <w:t>風險厭惡型投資者 (估值偏高,業績波動大)</w:t>
      </w:r>
    </w:p>
    <w:p>
      <w:pPr>
        <w:pStyle w:val="ListBullet"/>
      </w:pPr>
      <w:r>
        <w:rPr>
          <w:rFonts w:ascii="Arial" w:hAnsi="Arial"/>
          <w:sz w:val="24"/>
        </w:rPr>
        <w:t>短期交易者 (業績費季度波動劇烈)</w:t>
      </w:r>
    </w:p>
    <w:p>
      <w:pPr>
        <w:pStyle w:val="Heading3"/>
      </w:pPr>
      <w:r>
        <w:t>10.3 關鍵監控指標</w:t>
      </w:r>
    </w:p>
    <w:p>
      <w:pPr/>
      <w:r>
        <w:rPr>
          <w:rFonts w:ascii="Arial" w:hAnsi="Arial"/>
          <w:b/>
          <w:sz w:val="24"/>
        </w:rPr>
        <w:t>季度追蹤:</w:t>
      </w:r>
    </w:p>
    <w:p>
      <w:pPr>
        <w:pStyle w:val="ListNumber"/>
      </w:pPr>
      <w:r>
        <w:rPr>
          <w:rFonts w:ascii="Arial" w:hAnsi="Arial"/>
          <w:b/>
          <w:sz w:val="24"/>
        </w:rPr>
        <w:t>AUM增長率:</w:t>
      </w:r>
      <w:r>
        <w:rPr>
          <w:rFonts w:ascii="Arial" w:hAnsi="Arial"/>
          <w:sz w:val="24"/>
        </w:rPr>
        <w:t xml:space="preserve"> 目標 &gt;20% YoY</w:t>
      </w:r>
    </w:p>
    <w:p>
      <w:pPr>
        <w:pStyle w:val="ListNumber"/>
      </w:pPr>
      <w:r>
        <w:rPr>
          <w:rFonts w:ascii="Arial" w:hAnsi="Arial"/>
          <w:b/>
          <w:sz w:val="24"/>
        </w:rPr>
        <w:t>管理費收入增長:</w:t>
      </w:r>
      <w:r>
        <w:rPr>
          <w:rFonts w:ascii="Arial" w:hAnsi="Arial"/>
          <w:sz w:val="24"/>
        </w:rPr>
        <w:t xml:space="preserve"> 目標 &gt;15% YoY</w:t>
      </w:r>
    </w:p>
    <w:p>
      <w:pPr>
        <w:pStyle w:val="ListNumber"/>
      </w:pPr>
      <w:r>
        <w:rPr>
          <w:rFonts w:ascii="Arial" w:hAnsi="Arial"/>
          <w:b/>
          <w:sz w:val="24"/>
        </w:rPr>
        <w:t>FRE (Fee-Related Earnings) 利潤率:</w:t>
      </w:r>
      <w:r>
        <w:rPr>
          <w:rFonts w:ascii="Arial" w:hAnsi="Arial"/>
          <w:sz w:val="24"/>
        </w:rPr>
        <w:t xml:space="preserve"> 目標 &gt;40%</w:t>
      </w:r>
    </w:p>
    <w:p>
      <w:pPr>
        <w:pStyle w:val="ListNumber"/>
      </w:pPr>
      <w:r>
        <w:rPr>
          <w:rFonts w:ascii="Arial" w:hAnsi="Arial"/>
          <w:b/>
          <w:sz w:val="24"/>
        </w:rPr>
        <w:t>新基金募資金額:</w:t>
      </w:r>
      <w:r>
        <w:rPr>
          <w:rFonts w:ascii="Arial" w:hAnsi="Arial"/>
          <w:sz w:val="24"/>
        </w:rPr>
        <w:t xml:space="preserve"> 每季 &gt;$50億</w:t>
      </w:r>
    </w:p>
    <w:p>
      <w:pPr>
        <w:pStyle w:val="ListNumber"/>
      </w:pPr>
      <w:r>
        <w:rPr>
          <w:rFonts w:ascii="Arial" w:hAnsi="Arial"/>
          <w:b/>
          <w:sz w:val="24"/>
        </w:rPr>
        <w:t>直接貸款組合違約率:</w:t>
      </w:r>
      <w:r>
        <w:rPr>
          <w:rFonts w:ascii="Arial" w:hAnsi="Arial"/>
          <w:sz w:val="24"/>
        </w:rPr>
        <w:t xml:space="preserve"> 控制在 &lt;5%</w:t>
      </w:r>
    </w:p>
    <w:p>
      <w:pPr/>
      <w:r>
        <w:rPr>
          <w:rFonts w:ascii="Arial" w:hAnsi="Arial"/>
          <w:b/>
          <w:sz w:val="24"/>
        </w:rPr>
        <w:t>年度追蹤:</w:t>
      </w:r>
    </w:p>
    <w:p>
      <w:pPr>
        <w:pStyle w:val="ListNumber"/>
      </w:pPr>
      <w:r>
        <w:rPr>
          <w:rFonts w:ascii="Arial" w:hAnsi="Arial"/>
          <w:b/>
          <w:sz w:val="24"/>
        </w:rPr>
        <w:t>業績費實現金額:</w:t>
      </w:r>
      <w:r>
        <w:rPr>
          <w:rFonts w:ascii="Arial" w:hAnsi="Arial"/>
          <w:sz w:val="24"/>
        </w:rPr>
        <w:t xml:space="preserve"> 與PE/RE退出週期同步</w:t>
      </w:r>
    </w:p>
    <w:p>
      <w:pPr>
        <w:pStyle w:val="ListNumber"/>
      </w:pPr>
      <w:r>
        <w:rPr>
          <w:rFonts w:ascii="Arial" w:hAnsi="Arial"/>
          <w:b/>
          <w:sz w:val="24"/>
        </w:rPr>
        <w:t>ROE:</w:t>
      </w:r>
      <w:r>
        <w:rPr>
          <w:rFonts w:ascii="Arial" w:hAnsi="Arial"/>
          <w:sz w:val="24"/>
        </w:rPr>
        <w:t xml:space="preserve"> 回升至 15%+</w:t>
      </w:r>
    </w:p>
    <w:p>
      <w:pPr>
        <w:pStyle w:val="ListNumber"/>
      </w:pPr>
      <w:r>
        <w:rPr>
          <w:rFonts w:ascii="Arial" w:hAnsi="Arial"/>
          <w:b/>
          <w:sz w:val="24"/>
        </w:rPr>
        <w:t>派息比率:</w:t>
      </w:r>
      <w:r>
        <w:rPr>
          <w:rFonts w:ascii="Arial" w:hAnsi="Arial"/>
          <w:sz w:val="24"/>
        </w:rPr>
        <w:t xml:space="preserve"> 降至 &lt;100%</w:t>
      </w:r>
    </w:p>
    <w:p>
      <w:pPr>
        <w:pStyle w:val="ListNumber"/>
      </w:pPr>
      <w:r>
        <w:rPr>
          <w:rFonts w:ascii="Arial" w:hAnsi="Arial"/>
          <w:b/>
          <w:sz w:val="24"/>
        </w:rPr>
        <w:t>淨債務/EBITDA:</w:t>
      </w:r>
      <w:r>
        <w:rPr>
          <w:rFonts w:ascii="Arial" w:hAnsi="Arial"/>
          <w:sz w:val="24"/>
        </w:rPr>
        <w:t xml:space="preserve"> 維持 &lt;3倍</w:t>
      </w:r>
    </w:p>
    <w:p>
      <w:pPr>
        <w:pStyle w:val="Heading3"/>
      </w:pPr>
      <w:r>
        <w:t>10.4 進場策略</w:t>
      </w:r>
    </w:p>
    <w:p>
      <w:pPr/>
      <w:r>
        <w:rPr>
          <w:rFonts w:ascii="Arial" w:hAnsi="Arial"/>
          <w:b/>
          <w:sz w:val="24"/>
        </w:rPr>
        <w:t>分批建倉策略:</w:t>
      </w:r>
    </w:p>
    <w:p>
      <w:pPr>
        <w:pStyle w:val="ListNumber"/>
      </w:pPr>
      <w:r>
        <w:rPr>
          <w:rFonts w:ascii="Arial" w:hAnsi="Arial"/>
          <w:b/>
          <w:sz w:val="24"/>
        </w:rPr>
        <w:t>第一批 (30%倉位):</w:t>
      </w:r>
      <w:r>
        <w:rPr>
          <w:rFonts w:ascii="Arial" w:hAnsi="Arial"/>
          <w:sz w:val="24"/>
        </w:rPr>
        <w:t xml:space="preserve"> 當前價格 $133-140 區間</w:t>
      </w:r>
    </w:p>
    <w:p>
      <w:pPr/>
      <w:r>
        <w:rPr>
          <w:rFonts w:ascii="Arial" w:hAnsi="Arial"/>
          <w:sz w:val="24"/>
        </w:rPr>
        <w:t xml:space="preserve">   - 理由: 估值從2024年P/E 75.6x回落,具備相對吸引力</w:t>
      </w:r>
    </w:p>
    <w:p>
      <w:pPr>
        <w:pStyle w:val="ListNumber"/>
      </w:pPr>
      <w:r>
        <w:rPr>
          <w:rFonts w:ascii="Arial" w:hAnsi="Arial"/>
          <w:b/>
          <w:sz w:val="24"/>
        </w:rPr>
        <w:t>第二批 (30%倉位):</w:t>
      </w:r>
      <w:r>
        <w:rPr>
          <w:rFonts w:ascii="Arial" w:hAnsi="Arial"/>
          <w:sz w:val="24"/>
        </w:rPr>
        <w:t xml:space="preserve"> 等待Q1 2026財報 ($120-130若回調)</w:t>
      </w:r>
    </w:p>
    <w:p>
      <w:pPr/>
      <w:r>
        <w:rPr>
          <w:rFonts w:ascii="Arial" w:hAnsi="Arial"/>
          <w:sz w:val="24"/>
        </w:rPr>
        <w:t xml:space="preserve">   - 觀察AUM增長和2026指引</w:t>
      </w:r>
    </w:p>
    <w:p>
      <w:pPr>
        <w:pStyle w:val="ListNumber"/>
      </w:pPr>
      <w:r>
        <w:rPr>
          <w:rFonts w:ascii="Arial" w:hAnsi="Arial"/>
          <w:b/>
          <w:sz w:val="24"/>
        </w:rPr>
        <w:t>第三批 (40%倉位):</w:t>
      </w:r>
      <w:r>
        <w:rPr>
          <w:rFonts w:ascii="Arial" w:hAnsi="Arial"/>
          <w:sz w:val="24"/>
        </w:rPr>
        <w:t xml:space="preserve"> 聯準會明確降息後 ($140-150若突破)</w:t>
      </w:r>
    </w:p>
    <w:p>
      <w:pPr/>
      <w:r>
        <w:rPr>
          <w:rFonts w:ascii="Arial" w:hAnsi="Arial"/>
          <w:sz w:val="24"/>
        </w:rPr>
        <w:t xml:space="preserve">   - PE/RE業務估值重估,追漲</w:t>
      </w:r>
    </w:p>
    <w:p>
      <w:pPr/>
      <w:r>
        <w:rPr>
          <w:rFonts w:ascii="Arial" w:hAnsi="Arial"/>
          <w:b/>
          <w:sz w:val="24"/>
        </w:rPr>
        <w:t>停損停利:</w:t>
      </w:r>
    </w:p>
    <w:p>
      <w:pPr>
        <w:pStyle w:val="ListBullet"/>
      </w:pPr>
      <w:r>
        <w:rPr>
          <w:rFonts w:ascii="Arial" w:hAnsi="Arial"/>
          <w:b/>
          <w:sz w:val="24"/>
        </w:rPr>
        <w:t>停損:</w:t>
      </w:r>
      <w:r>
        <w:rPr>
          <w:rFonts w:ascii="Arial" w:hAnsi="Arial"/>
          <w:sz w:val="24"/>
        </w:rPr>
        <w:t xml:space="preserve"> $110 (-18%),破壞基本面或經濟衰退確認</w:t>
      </w:r>
    </w:p>
    <w:p>
      <w:pPr>
        <w:pStyle w:val="ListBullet"/>
      </w:pPr>
      <w:r>
        <w:rPr>
          <w:rFonts w:ascii="Arial" w:hAnsi="Arial"/>
          <w:b/>
          <w:sz w:val="24"/>
        </w:rPr>
        <w:t>第一目標:</w:t>
      </w:r>
      <w:r>
        <w:rPr>
          <w:rFonts w:ascii="Arial" w:hAnsi="Arial"/>
          <w:sz w:val="24"/>
        </w:rPr>
        <w:t xml:space="preserve"> $165 (+23%),減碼30%</w:t>
      </w:r>
    </w:p>
    <w:p>
      <w:pPr>
        <w:pStyle w:val="ListBullet"/>
      </w:pPr>
      <w:r>
        <w:rPr>
          <w:rFonts w:ascii="Arial" w:hAnsi="Arial"/>
          <w:b/>
          <w:sz w:val="24"/>
        </w:rPr>
        <w:t>第二目標:</w:t>
      </w:r>
      <w:r>
        <w:rPr>
          <w:rFonts w:ascii="Arial" w:hAnsi="Arial"/>
          <w:sz w:val="24"/>
        </w:rPr>
        <w:t xml:space="preserve"> $195 (+46%),減碼40%</w:t>
      </w:r>
    </w:p>
    <w:p>
      <w:pPr>
        <w:pStyle w:val="ListBullet"/>
      </w:pPr>
      <w:r>
        <w:rPr>
          <w:rFonts w:ascii="Arial" w:hAnsi="Arial"/>
          <w:b/>
          <w:sz w:val="24"/>
        </w:rPr>
        <w:t>保留倉位:</w:t>
      </w:r>
      <w:r>
        <w:rPr>
          <w:rFonts w:ascii="Arial" w:hAnsi="Arial"/>
          <w:sz w:val="24"/>
        </w:rPr>
        <w:t xml:space="preserve"> 30%,長期持有受益結構性增長</w:t>
      </w:r>
    </w:p>
    <w:p>
      <w:r>
        <w:t>__________________________________________________</w:t>
      </w:r>
    </w:p>
    <w:p>
      <w:pPr>
        <w:pStyle w:val="Heading2"/>
      </w:pPr>
      <w:r>
        <w:t>十一、總結</w:t>
      </w:r>
    </w:p>
    <w:p>
      <w:pPr>
        <w:pStyle w:val="Heading3"/>
      </w:pPr>
      <w:r>
        <w:t>核心投資論點</w:t>
      </w:r>
    </w:p>
    <w:p>
      <w:pPr/>
      <w:r>
        <w:rPr>
          <w:rFonts w:ascii="Arial" w:hAnsi="Arial"/>
          <w:sz w:val="24"/>
        </w:rPr>
        <w:t xml:space="preserve">✅ </w:t>
      </w:r>
      <w:r>
        <w:rPr>
          <w:rFonts w:ascii="Arial" w:hAnsi="Arial"/>
          <w:b/>
          <w:sz w:val="24"/>
        </w:rPr>
        <w:t>看多理由:</w:t>
      </w:r>
    </w:p>
    <w:p>
      <w:pPr>
        <w:pStyle w:val="ListNumber"/>
      </w:pPr>
      <w:r>
        <w:rPr>
          <w:rFonts w:ascii="Arial" w:hAnsi="Arial"/>
          <w:b/>
          <w:sz w:val="24"/>
        </w:rPr>
        <w:t>私募信貸市場處於黃金時代:</w:t>
      </w:r>
      <w:r>
        <w:rPr>
          <w:rFonts w:ascii="Arial" w:hAnsi="Arial"/>
          <w:sz w:val="24"/>
        </w:rPr>
        <w:t xml:space="preserve"> 銀行監管趨嚴,市場規模從$1.5萬億成長至$3.5萬億 (2030E)</w:t>
      </w:r>
    </w:p>
    <w:p>
      <w:pPr>
        <w:pStyle w:val="ListNumber"/>
      </w:pPr>
      <w:r>
        <w:rPr>
          <w:rFonts w:ascii="Arial" w:hAnsi="Arial"/>
          <w:b/>
          <w:sz w:val="24"/>
        </w:rPr>
        <w:t>Ares領導地位穩固:</w:t>
      </w:r>
      <w:r>
        <w:rPr>
          <w:rFonts w:ascii="Arial" w:hAnsi="Arial"/>
          <w:sz w:val="24"/>
        </w:rPr>
        <w:t xml:space="preserve"> 直接貸款市場前三,中端市場深耕優勢明顯</w:t>
      </w:r>
    </w:p>
    <w:p>
      <w:pPr>
        <w:pStyle w:val="ListNumber"/>
      </w:pPr>
      <w:r>
        <w:rPr>
          <w:rFonts w:ascii="Arial" w:hAnsi="Arial"/>
          <w:b/>
          <w:sz w:val="24"/>
        </w:rPr>
        <w:t>2025年業績爆發:</w:t>
      </w:r>
      <w:r>
        <w:rPr>
          <w:rFonts w:ascii="Arial" w:hAnsi="Arial"/>
          <w:sz w:val="24"/>
        </w:rPr>
        <w:t xml:space="preserve"> 營收+66.6%,驗證增長能力</w:t>
      </w:r>
    </w:p>
    <w:p>
      <w:pPr>
        <w:pStyle w:val="ListNumber"/>
      </w:pPr>
      <w:r>
        <w:rPr>
          <w:rFonts w:ascii="Arial" w:hAnsi="Arial"/>
          <w:b/>
          <w:sz w:val="24"/>
        </w:rPr>
        <w:t>貨幣政策轉向在即:</w:t>
      </w:r>
      <w:r>
        <w:rPr>
          <w:rFonts w:ascii="Arial" w:hAnsi="Arial"/>
          <w:sz w:val="24"/>
        </w:rPr>
        <w:t xml:space="preserve"> 降息週期將提振PE/RE估值,業績費大幅改善</w:t>
      </w:r>
    </w:p>
    <w:p>
      <w:pPr>
        <w:pStyle w:val="ListNumber"/>
      </w:pPr>
      <w:r>
        <w:rPr>
          <w:rFonts w:ascii="Arial" w:hAnsi="Arial"/>
          <w:b/>
          <w:sz w:val="24"/>
        </w:rPr>
        <w:t>管理費收入穩定性:</w:t>
      </w:r>
      <w:r>
        <w:rPr>
          <w:rFonts w:ascii="Arial" w:hAnsi="Arial"/>
          <w:sz w:val="24"/>
        </w:rPr>
        <w:t xml:space="preserve"> 抗週期能力增強,FRE佔比提升</w:t>
      </w:r>
    </w:p>
    <w:p>
      <w:pPr/>
      <w:r>
        <w:rPr>
          <w:rFonts w:ascii="Arial" w:hAnsi="Arial"/>
          <w:sz w:val="24"/>
        </w:rPr>
        <w:t xml:space="preserve">⚠️ </w:t>
      </w:r>
      <w:r>
        <w:rPr>
          <w:rFonts w:ascii="Arial" w:hAnsi="Arial"/>
          <w:b/>
          <w:sz w:val="24"/>
        </w:rPr>
        <w:t>看空理由:</w:t>
      </w:r>
    </w:p>
    <w:p>
      <w:pPr>
        <w:pStyle w:val="ListNumber"/>
      </w:pPr>
      <w:r>
        <w:rPr>
          <w:rFonts w:ascii="Arial" w:hAnsi="Arial"/>
          <w:b/>
          <w:sz w:val="24"/>
        </w:rPr>
        <w:t>估值過高:</w:t>
      </w:r>
      <w:r>
        <w:rPr>
          <w:rFonts w:ascii="Arial" w:hAnsi="Arial"/>
          <w:sz w:val="24"/>
        </w:rPr>
        <w:t xml:space="preserve"> P/E 66.6x顯著高於同業 25-35x</w:t>
      </w:r>
    </w:p>
    <w:p>
      <w:pPr>
        <w:pStyle w:val="ListNumber"/>
      </w:pPr>
      <w:r>
        <w:rPr>
          <w:rFonts w:ascii="Arial" w:hAnsi="Arial"/>
          <w:b/>
          <w:sz w:val="24"/>
        </w:rPr>
        <w:t>盈利能力下滑:</w:t>
      </w:r>
      <w:r>
        <w:rPr>
          <w:rFonts w:ascii="Arial" w:hAnsi="Arial"/>
          <w:sz w:val="24"/>
        </w:rPr>
        <w:t xml:space="preserve"> ROE從25.1% (2023)降至6.1% (2025)</w:t>
      </w:r>
    </w:p>
    <w:p>
      <w:pPr>
        <w:pStyle w:val="ListNumber"/>
      </w:pPr>
      <w:r>
        <w:rPr>
          <w:rFonts w:ascii="Arial" w:hAnsi="Arial"/>
          <w:b/>
          <w:sz w:val="24"/>
        </w:rPr>
        <w:t>派息不可持續:</w:t>
      </w:r>
      <w:r>
        <w:rPr>
          <w:rFonts w:ascii="Arial" w:hAnsi="Arial"/>
          <w:sz w:val="24"/>
        </w:rPr>
        <w:t xml:space="preserve"> 派息比率184.7%,現金流承壓</w:t>
      </w:r>
    </w:p>
    <w:p>
      <w:pPr>
        <w:pStyle w:val="ListNumber"/>
      </w:pPr>
      <w:r>
        <w:rPr>
          <w:rFonts w:ascii="Arial" w:hAnsi="Arial"/>
          <w:b/>
          <w:sz w:val="24"/>
        </w:rPr>
        <w:t>經濟衰退風險:</w:t>
      </w:r>
      <w:r>
        <w:rPr>
          <w:rFonts w:ascii="Arial" w:hAnsi="Arial"/>
          <w:sz w:val="24"/>
        </w:rPr>
        <w:t xml:space="preserve"> 硬著陸將導致違約率飆升,業績費歸零</w:t>
      </w:r>
    </w:p>
    <w:p>
      <w:pPr>
        <w:pStyle w:val="ListNumber"/>
      </w:pPr>
      <w:r>
        <w:rPr>
          <w:rFonts w:ascii="Arial" w:hAnsi="Arial"/>
          <w:b/>
          <w:sz w:val="24"/>
        </w:rPr>
        <w:t>競爭加劇:</w:t>
      </w:r>
      <w:r>
        <w:rPr>
          <w:rFonts w:ascii="Arial" w:hAnsi="Arial"/>
          <w:sz w:val="24"/>
        </w:rPr>
        <w:t xml:space="preserve"> Blackstone、Apollo全力進攻私募信貸,費率承壓</w:t>
      </w:r>
    </w:p>
    <w:p>
      <w:pPr>
        <w:pStyle w:val="Heading3"/>
      </w:pPr>
      <w:r>
        <w:t>最終結論</w:t>
      </w:r>
    </w:p>
    <w:p>
      <w:pPr/>
      <w:r>
        <w:rPr>
          <w:rFonts w:ascii="Arial" w:hAnsi="Arial"/>
          <w:b/>
          <w:sz w:val="24"/>
        </w:rPr>
        <w:t>Ares Management 是一家處於高速增長軌道的另類資產管理公司,受益於私募信貸市場的結構性繁榮。</w:t>
      </w:r>
    </w:p>
    <w:p>
      <w:pPr/>
      <w:r>
        <w:rPr>
          <w:rFonts w:ascii="Arial" w:hAnsi="Arial"/>
          <w:b/>
          <w:sz w:val="24"/>
        </w:rPr>
        <w:t>關鍵判斷:</w:t>
      </w:r>
    </w:p>
    <w:p>
      <w:pPr>
        <w:pStyle w:val="ListNumber"/>
      </w:pPr>
      <w:r>
        <w:rPr>
          <w:rFonts w:ascii="Arial" w:hAnsi="Arial"/>
          <w:b/>
          <w:sz w:val="24"/>
        </w:rPr>
        <w:t>增長能否持續?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YES,但增速放緩。</w:t>
      </w:r>
      <w:r>
        <w:rPr>
          <w:rFonts w:ascii="Arial" w:hAnsi="Arial"/>
          <w:sz w:val="24"/>
        </w:rPr>
        <w:t xml:space="preserve"> 從2025年66.6%回落至2026-2027年20-30%,長期維持15-20%增長</w:t>
      </w:r>
    </w:p>
    <w:p>
      <w:pPr>
        <w:pStyle w:val="ListNumber"/>
      </w:pPr>
      <w:r>
        <w:rPr>
          <w:rFonts w:ascii="Arial" w:hAnsi="Arial"/>
          <w:b/>
          <w:sz w:val="24"/>
        </w:rPr>
        <w:t>政策環境是否有利?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2024-2026年整體有利。</w:t>
      </w:r>
      <w:r>
        <w:rPr>
          <w:rFonts w:ascii="Arial" w:hAnsi="Arial"/>
          <w:sz w:val="24"/>
        </w:rPr>
        <w:t xml:space="preserve"> 高利率環境利好直接貸款,降息週期利好PE/RE</w:t>
      </w:r>
    </w:p>
    <w:p>
      <w:pPr>
        <w:pStyle w:val="ListNumber"/>
      </w:pPr>
      <w:r>
        <w:rPr>
          <w:rFonts w:ascii="Arial" w:hAnsi="Arial"/>
          <w:b/>
          <w:sz w:val="24"/>
        </w:rPr>
        <w:t>貨幣政策影響多大?</w:t>
      </w:r>
    </w:p>
    <w:p>
      <w:pPr/>
      <w:r>
        <w:rPr>
          <w:rFonts w:ascii="Arial" w:hAnsi="Arial"/>
          <w:sz w:val="24"/>
        </w:rPr>
        <w:t xml:space="preserve">   - </w:t>
      </w:r>
      <w:r>
        <w:rPr>
          <w:rFonts w:ascii="Arial" w:hAnsi="Arial"/>
          <w:b/>
          <w:sz w:val="24"/>
        </w:rPr>
        <w:t>中等影響 (權重15-20%)。</w:t>
      </w:r>
      <w:r>
        <w:rPr>
          <w:rFonts w:ascii="Arial" w:hAnsi="Arial"/>
          <w:sz w:val="24"/>
        </w:rPr>
        <w:t xml:space="preserve"> 私募信貸結構性增長更重要,但降息將帶來估值重估</w:t>
      </w:r>
    </w:p>
    <w:p>
      <w:pPr/>
      <w:r>
        <w:rPr>
          <w:rFonts w:ascii="Arial" w:hAnsi="Arial"/>
          <w:b/>
          <w:sz w:val="24"/>
        </w:rPr>
        <w:t>投資建議: 買入,目標價 $165-180</w:t>
      </w:r>
    </w:p>
    <w:p>
      <w:pPr/>
      <w:r>
        <w:rPr>
          <w:rFonts w:ascii="Arial" w:hAnsi="Arial"/>
          <w:b/>
          <w:sz w:val="24"/>
        </w:rPr>
        <w:t>最佳買點:</w:t>
      </w:r>
    </w:p>
    <w:p>
      <w:pPr>
        <w:pStyle w:val="ListBullet"/>
      </w:pPr>
      <w:r>
        <w:rPr>
          <w:rFonts w:ascii="Arial" w:hAnsi="Arial"/>
          <w:sz w:val="24"/>
        </w:rPr>
        <w:t>短期回調至 $120-130 (Q1財報前)</w:t>
      </w:r>
    </w:p>
    <w:p>
      <w:pPr>
        <w:pStyle w:val="ListBullet"/>
      </w:pPr>
      <w:r>
        <w:rPr>
          <w:rFonts w:ascii="Arial" w:hAnsi="Arial"/>
          <w:sz w:val="24"/>
        </w:rPr>
        <w:t>或聯準會降息預期升溫時 $140-150</w:t>
      </w:r>
    </w:p>
    <w:p>
      <w:pPr/>
      <w:r>
        <w:rPr>
          <w:rFonts w:ascii="Arial" w:hAnsi="Arial"/>
          <w:b/>
          <w:sz w:val="24"/>
        </w:rPr>
        <w:t>風險提示:</w:t>
      </w:r>
    </w:p>
    <w:p>
      <w:pPr/>
      <w:r>
        <w:rPr>
          <w:rFonts w:ascii="Arial" w:hAnsi="Arial"/>
          <w:sz w:val="24"/>
        </w:rPr>
        <w:t>密切關注經濟數據和聯準會政策,若出現硬著陸訊號立即減碼。</w:t>
      </w:r>
    </w:p>
    <w:p>
      <w:r>
        <w:t>__________________________________________________</w:t>
      </w:r>
    </w:p>
    <w:p>
      <w:pPr>
        <w:pStyle w:val="Heading2"/>
      </w:pPr>
      <w:r>
        <w:t>附錄:數據來源與方法論</w:t>
      </w:r>
    </w:p>
    <w:p>
      <w:pPr/>
      <w:r>
        <w:rPr>
          <w:rFonts w:ascii="Arial" w:hAnsi="Arial"/>
          <w:b/>
          <w:sz w:val="24"/>
        </w:rPr>
        <w:t>數據來源:</w:t>
      </w:r>
    </w:p>
    <w:p>
      <w:pPr>
        <w:pStyle w:val="ListNumber"/>
      </w:pPr>
      <w:r>
        <w:rPr>
          <w:rFonts w:ascii="Arial" w:hAnsi="Arial"/>
          <w:sz w:val="24"/>
        </w:rPr>
        <w:t>Financial Modeling Prep (FMP) API - 財務報表、比率、成長率</w:t>
      </w:r>
    </w:p>
    <w:p>
      <w:pPr>
        <w:pStyle w:val="ListNumber"/>
      </w:pPr>
      <w:r>
        <w:rPr>
          <w:rFonts w:ascii="Arial" w:hAnsi="Arial"/>
          <w:sz w:val="24"/>
        </w:rPr>
        <w:t>Ares Management 官方財報 (SEC 10-K/10-Q)</w:t>
      </w:r>
    </w:p>
    <w:p>
      <w:pPr>
        <w:pStyle w:val="ListNumber"/>
      </w:pPr>
      <w:r>
        <w:rPr>
          <w:rFonts w:ascii="Arial" w:hAnsi="Arial"/>
          <w:sz w:val="24"/>
        </w:rPr>
        <w:t>行業研究報告和市場數據</w:t>
      </w:r>
    </w:p>
    <w:p>
      <w:pPr/>
      <w:r>
        <w:rPr>
          <w:rFonts w:ascii="Arial" w:hAnsi="Arial"/>
          <w:b/>
          <w:sz w:val="24"/>
        </w:rPr>
        <w:t>分析方法:</w:t>
      </w:r>
    </w:p>
    <w:p>
      <w:pPr>
        <w:pStyle w:val="ListNumber"/>
      </w:pPr>
      <w:r>
        <w:rPr>
          <w:rFonts w:ascii="Arial" w:hAnsi="Arial"/>
          <w:sz w:val="24"/>
        </w:rPr>
        <w:t>歷史財務數據分析 (2021-2025)</w:t>
      </w:r>
    </w:p>
    <w:p>
      <w:pPr>
        <w:pStyle w:val="ListNumber"/>
      </w:pPr>
      <w:r>
        <w:rPr>
          <w:rFonts w:ascii="Arial" w:hAnsi="Arial"/>
          <w:sz w:val="24"/>
        </w:rPr>
        <w:t>同業比較分析 (Blackstone, Apollo, KKR)</w:t>
      </w:r>
    </w:p>
    <w:p>
      <w:pPr>
        <w:pStyle w:val="ListNumber"/>
      </w:pPr>
      <w:r>
        <w:rPr>
          <w:rFonts w:ascii="Arial" w:hAnsi="Arial"/>
          <w:sz w:val="24"/>
        </w:rPr>
        <w:t>情境分析和敏感性測試</w:t>
      </w:r>
    </w:p>
    <w:p>
      <w:pPr>
        <w:pStyle w:val="ListNumber"/>
      </w:pPr>
      <w:r>
        <w:rPr>
          <w:rFonts w:ascii="Arial" w:hAnsi="Arial"/>
          <w:sz w:val="24"/>
        </w:rPr>
        <w:t>DCF估值和相對估值法 (P/E, P/B, P/S)</w:t>
      </w:r>
    </w:p>
    <w:p>
      <w:pPr/>
      <w:r>
        <w:rPr>
          <w:rFonts w:ascii="Arial" w:hAnsi="Arial"/>
          <w:b/>
          <w:sz w:val="24"/>
        </w:rPr>
        <w:t>局限性:</w:t>
      </w:r>
    </w:p>
    <w:p>
      <w:pPr>
        <w:pStyle w:val="ListNumber"/>
      </w:pPr>
      <w:r>
        <w:rPr>
          <w:rFonts w:ascii="Arial" w:hAnsi="Arial"/>
          <w:sz w:val="24"/>
        </w:rPr>
        <w:t>部分2025年數據出現異常,需官方財報確認</w:t>
      </w:r>
    </w:p>
    <w:p>
      <w:pPr>
        <w:pStyle w:val="ListNumber"/>
      </w:pPr>
      <w:r>
        <w:rPr>
          <w:rFonts w:ascii="Arial" w:hAnsi="Arial"/>
          <w:sz w:val="24"/>
        </w:rPr>
        <w:t>AUM數據為估算值,非官方披露</w:t>
      </w:r>
    </w:p>
    <w:p>
      <w:pPr>
        <w:pStyle w:val="ListNumber"/>
      </w:pPr>
      <w:r>
        <w:rPr>
          <w:rFonts w:ascii="Arial" w:hAnsi="Arial"/>
          <w:sz w:val="24"/>
        </w:rPr>
        <w:t>分析師預估數據缺失,影響共識預測準確性</w:t>
      </w:r>
    </w:p>
    <w:p>
      <w:pPr>
        <w:pStyle w:val="ListNumber"/>
      </w:pPr>
      <w:r>
        <w:rPr>
          <w:rFonts w:ascii="Arial" w:hAnsi="Arial"/>
          <w:sz w:val="24"/>
        </w:rPr>
        <w:t>宏觀情境假設具有不確定性</w:t>
      </w:r>
    </w:p>
    <w:p>
      <w:pPr/>
      <w:r>
        <w:rPr>
          <w:rFonts w:ascii="Arial" w:hAnsi="Arial"/>
          <w:b/>
          <w:sz w:val="24"/>
        </w:rPr>
        <w:t>免責聲明:</w:t>
      </w:r>
    </w:p>
    <w:p>
      <w:pPr/>
      <w:r>
        <w:rPr>
          <w:rFonts w:ascii="Arial" w:hAnsi="Arial"/>
          <w:sz w:val="24"/>
        </w:rPr>
        <w:t>本報告僅供研究參考,不構成投資建議。投資者應自行判斷並承擔投資風險。</w:t>
      </w:r>
    </w:p>
    <w:p>
      <w:r>
        <w:t>__________________________________________________</w:t>
      </w:r>
    </w:p>
    <w:p>
      <w:pPr/>
      <w:r>
        <w:rPr>
          <w:rFonts w:ascii="Arial" w:hAnsi="Arial"/>
          <w:b/>
          <w:sz w:val="24"/>
        </w:rPr>
        <w:t>報告完成日期:</w:t>
      </w:r>
      <w:r>
        <w:rPr>
          <w:rFonts w:ascii="Arial" w:hAnsi="Arial"/>
          <w:sz w:val="24"/>
        </w:rPr>
        <w:t xml:space="preserve"> 2026年2月19日</w:t>
      </w:r>
    </w:p>
    <w:p>
      <w:pPr/>
      <w:r>
        <w:rPr>
          <w:rFonts w:ascii="Arial" w:hAnsi="Arial"/>
          <w:b/>
          <w:sz w:val="24"/>
        </w:rPr>
        <w:t>分析師:</w:t>
      </w:r>
      <w:r>
        <w:rPr>
          <w:rFonts w:ascii="Arial" w:hAnsi="Arial"/>
          <w:sz w:val="24"/>
        </w:rPr>
        <w:t xml:space="preserve"> AI Research Team</w:t>
      </w:r>
    </w:p>
    <w:p>
      <w:pPr/>
      <w:r>
        <w:rPr>
          <w:rFonts w:ascii="Arial" w:hAnsi="Arial"/>
          <w:b/>
          <w:sz w:val="24"/>
        </w:rPr>
        <w:t>下次更新:</w:t>
      </w:r>
      <w:r>
        <w:rPr>
          <w:rFonts w:ascii="Arial" w:hAnsi="Arial"/>
          <w:sz w:val="24"/>
        </w:rPr>
        <w:t xml:space="preserve"> Q1 2026財報發布後 (預估2026年4-5月)</w:t>
      </w:r>
    </w:p>
    <w:p>
      <w:r>
        <w:t>__________________________________________________</w:t>
      </w:r>
    </w:p>
    <w:p>
      <w:pPr>
        <w:pStyle w:val="Heading2"/>
      </w:pPr>
      <w:r>
        <w:t>十二、競爭對手比較（2026補充）</w:t>
      </w:r>
    </w:p>
    <w:p>
      <w:pPr>
        <w:pStyle w:val="Heading3"/>
      </w:pPr>
      <w:r>
        <w:t>ARES vs Blackstone / Apollo / KKR</w:t>
      </w:r>
    </w:p>
    <w:p>
      <w:pPr>
        <w:pStyle w:val="ListBullet"/>
      </w:pPr>
      <w:r>
        <w:rPr>
          <w:rFonts w:ascii="Arial" w:hAnsi="Arial"/>
          <w:b/>
          <w:sz w:val="24"/>
        </w:rPr>
        <w:t>Blackstone：</w:t>
      </w:r>
      <w:r>
        <w:rPr>
          <w:rFonts w:ascii="Arial" w:hAnsi="Arial"/>
          <w:sz w:val="24"/>
        </w:rPr>
        <w:t xml:space="preserve"> 規模最大、產品最全，品牌與募資能力最強。</w:t>
      </w:r>
    </w:p>
    <w:p>
      <w:pPr>
        <w:pStyle w:val="ListBullet"/>
      </w:pPr>
      <w:r>
        <w:rPr>
          <w:rFonts w:ascii="Arial" w:hAnsi="Arial"/>
          <w:b/>
          <w:sz w:val="24"/>
        </w:rPr>
        <w:t>Apollo：</w:t>
      </w:r>
      <w:r>
        <w:rPr>
          <w:rFonts w:ascii="Arial" w:hAnsi="Arial"/>
          <w:sz w:val="24"/>
        </w:rPr>
        <w:t xml:space="preserve"> 保險資金池（Athene）帶來低成本、長天期資金。</w:t>
      </w:r>
    </w:p>
    <w:p>
      <w:pPr>
        <w:pStyle w:val="ListBullet"/>
      </w:pPr>
      <w:r>
        <w:rPr>
          <w:rFonts w:ascii="Arial" w:hAnsi="Arial"/>
          <w:b/>
          <w:sz w:val="24"/>
        </w:rPr>
        <w:t>KKR：</w:t>
      </w:r>
      <w:r>
        <w:rPr>
          <w:rFonts w:ascii="Arial" w:hAnsi="Arial"/>
          <w:sz w:val="24"/>
        </w:rPr>
        <w:t xml:space="preserve"> 私募股權傳統強，近年加速信貸與基建布局。</w:t>
      </w:r>
    </w:p>
    <w:p>
      <w:pPr>
        <w:pStyle w:val="ListBullet"/>
      </w:pPr>
      <w:r>
        <w:rPr>
          <w:rFonts w:ascii="Arial" w:hAnsi="Arial"/>
          <w:b/>
          <w:sz w:val="24"/>
        </w:rPr>
        <w:t>ARES：</w:t>
      </w:r>
      <w:r>
        <w:rPr>
          <w:rFonts w:ascii="Arial" w:hAnsi="Arial"/>
          <w:sz w:val="24"/>
        </w:rPr>
        <w:t xml:space="preserve"> 私募信貸專注度最高，中端市場執行力強。</w:t>
      </w:r>
    </w:p>
    <w:p>
      <w:pPr>
        <w:pStyle w:val="Heading3"/>
      </w:pPr>
      <w:r>
        <w:t>2026 差異化與勝負</w:t>
      </w:r>
    </w:p>
    <w:p>
      <w:pPr>
        <w:pStyle w:val="ListBullet"/>
      </w:pPr>
      <w:r>
        <w:rPr>
          <w:rFonts w:ascii="Arial" w:hAnsi="Arial"/>
          <w:b/>
          <w:sz w:val="24"/>
        </w:rPr>
        <w:t>規模與品牌：</w:t>
      </w:r>
      <w:r>
        <w:rPr>
          <w:rFonts w:ascii="Arial" w:hAnsi="Arial"/>
          <w:sz w:val="24"/>
        </w:rPr>
        <w:t xml:space="preserve"> Blackstone 勝</w:t>
      </w:r>
    </w:p>
    <w:p>
      <w:pPr>
        <w:pStyle w:val="ListBullet"/>
      </w:pPr>
      <w:r>
        <w:rPr>
          <w:rFonts w:ascii="Arial" w:hAnsi="Arial"/>
          <w:b/>
          <w:sz w:val="24"/>
        </w:rPr>
        <w:t>資金成本：</w:t>
      </w:r>
      <w:r>
        <w:rPr>
          <w:rFonts w:ascii="Arial" w:hAnsi="Arial"/>
          <w:sz w:val="24"/>
        </w:rPr>
        <w:t xml:space="preserve"> Apollo 勝</w:t>
      </w:r>
    </w:p>
    <w:p>
      <w:pPr>
        <w:pStyle w:val="ListBullet"/>
      </w:pPr>
      <w:r>
        <w:rPr>
          <w:rFonts w:ascii="Arial" w:hAnsi="Arial"/>
          <w:b/>
          <w:sz w:val="24"/>
        </w:rPr>
        <w:t>私募信貸專注度：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</w:rPr>
        <w:t>ARES 勝</w:t>
      </w:r>
    </w:p>
    <w:p>
      <w:pPr>
        <w:pStyle w:val="ListBullet"/>
      </w:pPr>
      <w:r>
        <w:rPr>
          <w:rFonts w:ascii="Arial" w:hAnsi="Arial"/>
          <w:b/>
          <w:sz w:val="24"/>
        </w:rPr>
        <w:t>結論：</w:t>
      </w:r>
      <w:r>
        <w:rPr>
          <w:rFonts w:ascii="Arial" w:hAnsi="Arial"/>
          <w:sz w:val="24"/>
        </w:rPr>
        <w:t xml:space="preserve"> ARES 最佳定位是「信貸專家型平台」，不是全資產類別全能王。</w:t>
      </w:r>
    </w:p>
    <w:p>
      <w:pPr>
        <w:pStyle w:val="Heading3"/>
      </w:pPr>
      <w:r>
        <w:t>ARES 競爭對手比較（2026）</w:t>
      </w:r>
    </w:p>
    <w:p>
      <w:pPr>
        <w:pStyle w:val="ListBullet"/>
      </w:pPr>
      <w:r>
        <w:rPr>
          <w:rFonts w:ascii="Arial" w:hAnsi="Arial"/>
          <w:sz w:val="24"/>
        </w:rPr>
        <w:t>vs Blackstone：Blackstone 規模更大、業務更廣；ARES 在私募信貸深度更強。</w:t>
      </w:r>
    </w:p>
    <w:p>
      <w:pPr>
        <w:pStyle w:val="ListBullet"/>
      </w:pPr>
      <w:r>
        <w:rPr>
          <w:rFonts w:ascii="Arial" w:hAnsi="Arial"/>
          <w:sz w:val="24"/>
        </w:rPr>
        <w:t>vs Apollo：Apollo 的保險資金端有優勢；ARES 在策略靈活與中端市場深耕更突出。</w:t>
      </w:r>
    </w:p>
    <w:p>
      <w:pPr>
        <w:pStyle w:val="ListBullet"/>
      </w:pPr>
      <w:r>
        <w:rPr>
          <w:rFonts w:ascii="Arial" w:hAnsi="Arial"/>
          <w:sz w:val="24"/>
        </w:rPr>
        <w:t>vs KKR：KKR 在傳統 PE 更強；ARES 在信用平台與直接貸款更有領先。</w:t>
      </w:r>
    </w:p>
    <w:p>
      <w:pPr>
        <w:pStyle w:val="Heading2"/>
      </w:pPr>
      <w:r>
        <w:t>免責聲明</w:t>
      </w:r>
    </w:p>
    <w:p>
      <w:pPr/>
      <w:r>
        <w:rPr>
          <w:rFonts w:ascii="Arial" w:hAnsi="Arial"/>
          <w:sz w:val="24"/>
        </w:rPr>
        <w:t>本報告僅供參考，不構成任何投資建議。投資有風險，入市需謹慎。過往表現不代表未來收益。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