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 w:line="264" w:lineRule="auto"/>
        <w:jc w:val="left"/>
      </w:pPr>
      <w:r>
        <w:rPr>
          <w:rFonts w:ascii="Calibri" w:hAnsi="Calibri" w:eastAsia="Microsoft YaHei"/>
          <w:b/>
          <w:color w:val="0E9F6E"/>
          <w:sz w:val="48"/>
        </w:rPr>
        <w:t>RADAR 上线部署手册</w:t>
      </w:r>
    </w:p>
    <w:p>
      <w:pPr>
        <w:spacing w:before="0" w:after="280" w:line="288" w:lineRule="auto"/>
      </w:pPr>
      <w:r>
        <w:rPr>
          <w:rFonts w:ascii="Calibri" w:hAnsi="Calibri" w:eastAsia="Microsoft YaHei"/>
          <w:b w:val="0"/>
          <w:color w:val="666666"/>
          <w:sz w:val="24"/>
        </w:rPr>
        <w:t>面向实施、运维和系统管理员的安装、配置、迁移、发布和回退指南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800"/>
        <w:gridCol w:w="75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适用系统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RADAR · 日常需求研发流程管理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适用版本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以当前 main 分支 README 与代码实现为准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发布日期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2026-07-01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编写人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hengguan</w:t>
            </w:r>
          </w:p>
        </w:tc>
      </w:tr>
    </w:tbl>
    <w:p>
      <w:pPr/>
      <w:r>
        <w:br w:type="page"/>
      </w:r>
    </w:p>
    <w:p>
      <w:pPr>
        <w:spacing w:before="0" w:after="240"/>
        <w:jc w:val="left"/>
      </w:pPr>
      <w:r>
        <w:rPr>
          <w:rFonts w:ascii="Microsoft YaHei" w:hAnsi="Microsoft YaHei" w:eastAsia="Microsoft YaHei"/>
          <w:b/>
          <w:color w:val="2D7AB8"/>
          <w:sz w:val="40"/>
        </w:rPr>
        <w:t>目录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一、手册说明</w:t>
        <w:tab/>
        <w:t>3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二、部署架构</w:t>
        <w:tab/>
        <w:t>3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三、上线前检查清单</w:t>
        <w:tab/>
        <w:t>3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四、环境变量准备</w:t>
        <w:tab/>
        <w:t>4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五、Docker Compose 部署</w:t>
        <w:tab/>
        <w:t>4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5.1 首次部署</w:t>
        <w:tab/>
        <w:t>4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5.2 Docker 目录持久化</w:t>
        <w:tab/>
        <w:t>5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六、非 Docker 部署</w:t>
        <w:tab/>
        <w:t>5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七、SQLite 部署方案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八、TDSQL 部署方案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九、数据迁移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9.1 SQLite 迁移到 TDSQL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9.2 TDSQL 回迁 SQLite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9.3 TDSQL 到 TDSQL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十、备份与恢复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10.1 SQLite 备份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10.2 TDSQL 原生备份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十一、升级发布流程</w:t>
        <w:tab/>
        <w:t>8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十二、上线验证清单</w:t>
        <w:tab/>
        <w:t>8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十三、回退方案</w:t>
        <w:tab/>
        <w:t>9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十四、运维监控建议</w:t>
        <w:tab/>
        <w:t>9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十五、常见故障处理</w:t>
        <w:tab/>
        <w:t>9</w:t>
      </w:r>
    </w:p>
    <w:p>
      <w:pPr/>
      <w:r>
        <w:br w:type="page"/>
      </w:r>
    </w:p>
    <w:p>
      <w:pPr>
        <w:pStyle w:val="Heading1"/>
      </w:pPr>
      <w:r>
        <w:t>一、手册说明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本文档用于指导 RADAR 在服务器环境完成上线部署、配置、数据库初始化、数据迁移、备份恢复和发布验证。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部署边界：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RADAR 支持 SQLite 单机部署和 TDSQL MySQL 兼容版部署。Docker Compose 单服务部署是推荐路径；非 Docker 部署适用于已有 Node.js 运行环境的服务器。</w:t>
            </w:r>
          </w:p>
        </w:tc>
      </w:tr>
    </w:tbl>
    <w:p>
      <w:pPr/>
    </w:p>
    <w:p>
      <w:pPr>
        <w:pStyle w:val="Heading1"/>
      </w:pPr>
      <w:r>
        <w:t>二、部署架构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400"/>
        <w:gridCol w:w="2500"/>
        <w:gridCol w:w="5460"/>
      </w:tblGrid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层级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组件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访问层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浏览器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用户通过 PC、平板或手机访问 Web 页面。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前端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React + Vite 静态资源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生产构建后由 Fastify 同域托管。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后端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Fastify API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统一提供 /api 接口、鉴权、权限、附件和静态资源。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数据库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SQLite 或 TDSQL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SQLite 适合单机部署，TDSQL 适合集中数据库和生产高可用场景。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文件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attachments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保存上传附件和电子签名图片。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外部系统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PAMS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可选；用于同步问题概述和详情。</w:t>
            </w:r>
          </w:p>
        </w:tc>
      </w:tr>
    </w:tbl>
    <w:p>
      <w:pPr>
        <w:pStyle w:val="Heading1"/>
      </w:pPr>
      <w:r>
        <w:t>三、上线前检查清单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检查项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要求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服务器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 CPU 架构、磁盘空间、系统时间、网络和防火墙策略。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端口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 RADAR_HTTP_PORT 对外可访问，默认 3510。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密钥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生产环境必须设置随机 JWT_SECRET。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管理员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生产环境必须设置 ADMIN_PASSWORD。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数据目录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准备数据库挂载目录和附件挂载目录，并确认可写。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数据库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确认选择 SQLite 或 TDSQL，并准备相应配置。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PAMS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如需问题同步，准备 PAMS_BASE_URL 和 PAMS_API_KEY。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备份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升级前备份数据库和附件目录。</w:t>
            </w:r>
          </w:p>
        </w:tc>
      </w:tr>
    </w:tbl>
    <w:p>
      <w:pPr>
        <w:pStyle w:val="Heading1"/>
      </w:pPr>
      <w:r>
        <w:t>四、环境变量准备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在仓库根目录复制 .env.example 为 .env。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修改 JWT_SECRET、ADMIN_PASSWORD、RADAR_HTTP_PORT。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根据数据库方案配置 DB_CLIENT 和数据库连接信息。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根据需要配置附件目录、PAMS、CORS、CSP、上传限制和 Vite 参数。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保存 .env 后再执行构建或启动。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600"/>
        <w:gridCol w:w="3100"/>
        <w:gridCol w:w="4660"/>
      </w:tblGrid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配置类别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关键变量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生产建议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基础运行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NODE_ENV、HOST、PORT、RADAR_HTTP_PORT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NODE_ENV 使用 production；端口按防火墙开放策略设置。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安全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JWT_SECRET、CSRF_HEADER_VALUE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JWT_SECRET 使用随机长字符串，不要使用示例值。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管理员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ADMIN_PHONE、ADMIN_NAME、ADMIN_PASSWORD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ADMIN_PASSWORD 必须显式配置并妥善保管。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SQLite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DB_CLIENT、DB_FILE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DB_CLIENT=sqlite；DB_FILE 挂载到持久化目录。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TDSQL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TDSQL_HOST、TDSQL_DATABASE、TDSQL_USER、TDSQL_PASSWORD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账号建议只授权目标库，字符集使用 utf8mb4。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附件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ATTACHMENT_DIR、MAX_FILE_SIZE、UPLOAD_ALLOWED_EXTENSIONS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附件目录必须持久化并定期备份。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PAMS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PAMS_BASE_URL、PAMS_API_KEY、PAMS_TIMEOUT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不用问题同步可留空。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前端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VITE_API_BASE_URL、VITE_CSRF_HEADER_VALUE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同域部署通常保持 /api。</w:t>
            </w:r>
          </w:p>
        </w:tc>
      </w:tr>
    </w:tbl>
    <w:p>
      <w:pPr>
        <w:pStyle w:val="Heading1"/>
      </w:pPr>
      <w:r>
        <w:t>五、Docker Compose 部署</w:t>
      </w:r>
    </w:p>
    <w:p>
      <w:pPr>
        <w:pStyle w:val="Heading2"/>
      </w:pPr>
      <w:r>
        <w:t>5.1 首次部署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将代码放置到服务器目标目录。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复制并修改 .env。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确认 RADAR_DATA_DIR 和 RADAR_ATTACHMENTS_DIR 指向宿主机持久化目录。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执行 docker compose up -d --build。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访问 http://服务器IP:RADAR_HTTP_PORT。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使用初始超级管理员登录，并立即按安全要求修改密码。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构建镜像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up -d --build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查看容器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ps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查看日志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logs -f radar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停止服务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down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重启服务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restart radar</w:t>
            </w:r>
          </w:p>
        </w:tc>
      </w:tr>
    </w:tbl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国内镜像源：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如服务器无法访问 Docker Hub，可通过 NODE_IMAGE 和 NPM_CONFIG_REGISTRY 使用可访问的基础镜像和 npm 镜像源。</w:t>
            </w:r>
          </w:p>
        </w:tc>
      </w:tr>
    </w:tbl>
    <w:p>
      <w:pPr/>
    </w:p>
    <w:p>
      <w:pPr>
        <w:pStyle w:val="Heading2"/>
      </w:pPr>
      <w:r>
        <w:t>5.2 Docker 目录持久化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600"/>
        <w:gridCol w:w="2200"/>
        <w:gridCol w:w="45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宿主机变量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容器路径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用途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RADAR_DATA_DIR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/app/data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SQLite 数据库文件目录。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RADAR_ATTACHMENTS_DIR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/app/attachments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附件和电子签名文件目录。</w:t>
            </w:r>
          </w:p>
        </w:tc>
      </w:tr>
    </w:tbl>
    <w:p>
      <w:pPr>
        <w:pStyle w:val="Heading1"/>
      </w:pPr>
      <w:r>
        <w:t>六、非 Docker 部署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在服务器安装 Node.js 22.5 或以上版本。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进入 web 目录执行 npm ci 和 npm run build。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进入 server 目录执行 npm ci --omit=dev。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在仓库根目录准备 .env。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执行 NODE_ENV=production npm start 或使用进程管理器启动 server/src/server.js。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配置反向代理或防火墙，使用户可访问后端监听端口。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前端构建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web &amp;&amp; npm ci &amp;&amp; npm run build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后端依赖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ci --omit=dev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生产启动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NODE_ENV=production npm start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健康检查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curl http://127.0.0.1:3000/api/health</w:t>
            </w:r>
          </w:p>
        </w:tc>
      </w:tr>
    </w:tbl>
    <w:p>
      <w:pPr>
        <w:pStyle w:val="Heading1"/>
      </w:pPr>
      <w:r>
        <w:t>七、SQLite 部署方案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SQLite 是默认数据库方案，适合单机部署、试点和轻量使用场景。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配置 DB_CLIENT=sqlite。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配置 DB_FILE 指向持久化目录，例如 ./data/radar.db。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首次启动时系统自动创建数据库并执行迁移。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升级前必须备份 DB_FILE 和附件目录。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如使用 Docker，请确保 /app/data 已挂载到宿主机。</w:t>
      </w:r>
    </w:p>
    <w:p>
      <w:pPr>
        <w:pStyle w:val="Heading1"/>
      </w:pPr>
      <w:r>
        <w:t>八、TDSQL 部署方案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TDSQL MySQL 兼容版适合集中数据库、生产级运维和跨实例迁移场景。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 TDSQL 中创建空库，建议字符集 utf8mb4。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创建应用账号，并授予目标库必要权限。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配置 DB_CLIENT=tdsql。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填写 TDSQL_HOST、TDSQL_PORT、TDSQL_DATABASE、TDSQL_USER、TDSQL_PASSWORD。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首次启动后端，系统会执行 TDSQL 初始化脚本并写入种子数据。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兼容说明：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业务代码通过统一数据库入口访问 SQLite 或 TDSQL。TDSQL provider 会处理连接池、事务连接复用、保留字引用、时间函数和 JSON 查询差异。</w:t>
            </w:r>
          </w:p>
        </w:tc>
      </w:tr>
    </w:tbl>
    <w:p>
      <w:pPr/>
    </w:p>
    <w:p>
      <w:pPr>
        <w:pStyle w:val="Heading1"/>
      </w:pPr>
      <w:r>
        <w:t>九、数据迁移</w:t>
      </w:r>
    </w:p>
    <w:p>
      <w:pPr>
        <w:pStyle w:val="Heading2"/>
      </w:pPr>
      <w:r>
        <w:t>9.1 SQLite 迁移到 TDSQL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常规迁移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run migrate:tdsql -- --sqlite ../data/radar.db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清空目标后迁移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migrate:tdsql -- --sqlite ../data/radar.db --truncate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演练模式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migrate:tdsql -- --sqlite ../data/radar.db --dry-run</w:t>
            </w:r>
          </w:p>
        </w:tc>
      </w:tr>
    </w:tbl>
    <w:p>
      <w:pPr>
        <w:pStyle w:val="Heading2"/>
      </w:pPr>
      <w:r>
        <w:t>9.2 TDSQL 回迁 SQLite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常规回迁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run migrate:sqlite -- --sqlite ../data/radar-from-tdsql.db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清空目标后回迁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migrate:sqlite -- --sqlite ../data/radar-from-tdsql.db --truncate</w:t>
            </w:r>
          </w:p>
        </w:tc>
      </w:tr>
    </w:tbl>
    <w:p>
      <w:pPr>
        <w:pStyle w:val="Heading2"/>
      </w:pPr>
      <w:r>
        <w:t>9.3 TDSQL 到 TDSQL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跨 TDSQL 迁移使用 source/target 参数区分源库和目标库。目标库与源库相同时，脚本会拒绝执行高风险 truncate 操作。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迁移命令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migrate:tdsql-to-tdsql -- --source-host 源地址 --source-database 源库 --source-user 用户 --source-password 密码 --target-host 目标地址 --target-database 目标库 --target-user 用户 --target-password 密码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清空目标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在上述命令后追加 --truncate。</w:t>
            </w:r>
          </w:p>
        </w:tc>
      </w:tr>
    </w:tbl>
    <w:p>
      <w:pPr>
        <w:pStyle w:val="Heading1"/>
      </w:pPr>
      <w:r>
        <w:t>十、备份与恢复</w:t>
      </w:r>
    </w:p>
    <w:p>
      <w:pPr>
        <w:pStyle w:val="Heading2"/>
      </w:pPr>
      <w:r>
        <w:t>10.1 SQLite 备份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停止服务或确认没有写入操作。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复制 DB_FILE 对应的数据库文件。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同时备份 -wal 和 -shm 文件，或先让数据库完成检查点。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备份 attachments 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记录备份时间、版本号和操作人。</w:t>
      </w:r>
    </w:p>
    <w:p>
      <w:pPr>
        <w:pStyle w:val="Heading2"/>
      </w:pPr>
      <w:r>
        <w:t>10.2 TDSQL 原生备份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导出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run dump:tdsql -- --output ../radar-tdsql-dump.sql.gz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恢复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run restore:tdsql -- --input ../radar-tdsql-dump.sql.gz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删库重建恢复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npm run restore:tdsql -- --input ../radar-tdsql-dump.sql.gz --drop-database --force</w:t>
            </w:r>
          </w:p>
        </w:tc>
      </w:tr>
    </w:tbl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密码保护：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TDSQL 原生备份脚本通过 MYSQL_PWD 环境变量向子进程传递密码，避免密码出现在命令参数列表中。</w:t>
            </w:r>
          </w:p>
        </w:tc>
      </w:tr>
    </w:tbl>
    <w:p>
      <w:pPr/>
    </w:p>
    <w:p>
      <w:pPr>
        <w:pStyle w:val="Heading1"/>
      </w:pPr>
      <w:r>
        <w:t>十一、升级发布流程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通知业务用户维护窗口。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备份数据库和附件目录。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拉取或上传新版本代码。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确认 .env 与新版本环境变量兼容。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执行后端测试和前端构建。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重新构建并启动服务。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7. 观察启动日志，确认迁移和种子执行成功。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8. 完成上线后执行验证清单。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200"/>
        <w:gridCol w:w="71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场景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推荐命令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升级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docker compose up -d --build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非 Docker 前端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web &amp;&amp; npm ci &amp;&amp; npm run build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非 Docker 后端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ci --omit=dev &amp;&amp; NODE_ENV=production npm start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后端测试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server &amp;&amp; npm test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前端构建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cd web &amp;&amp; npm run build</w:t>
            </w:r>
          </w:p>
        </w:tc>
      </w:tr>
    </w:tbl>
    <w:p>
      <w:pPr>
        <w:pStyle w:val="Heading1"/>
      </w:pPr>
      <w:r>
        <w:t>十二、上线验证清单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100"/>
        <w:gridCol w:w="72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验证项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通过标准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健康检查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/api/health 返回 status=ok。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静态资源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访问根路径能加载登录页，无资源 404。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登录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超级管理员或测试账号可登录。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权限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不同角色菜单和按钮符合预期。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投产点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能加载投产点并切换窗口。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需求/工单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列表、详情、新增或编辑正常。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开发/测试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承接预览和列表查询正常。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投产申请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能新增或查看变更单和交付制品。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投产审批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能展开审批对象、打开详情和查看会签项。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附件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上传、路径登记、下载和删除正常。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问题同步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如已配置 PAMS，概述和详情同步正常。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Excel 和 Word 导出正常。</w:t>
            </w:r>
          </w:p>
        </w:tc>
      </w:tr>
    </w:tbl>
    <w:p>
      <w:pPr>
        <w:pStyle w:val="Heading1"/>
      </w:pPr>
      <w:r>
        <w:t>十三、回退方案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停止当前服务。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恢复上一版本代码或镜像。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恢复上线前数据库备份。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恢复上线前附件目录备份。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启动上一版本服务。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执行健康检查、登录检查和关键业务页面检查。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7. 记录回退原因、时间、操作人和恢复结果。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数据库回退：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如果新版本已经执行了数据库迁移，单纯回退代码可能不充分。应以数据库备份恢复为准，避免旧代码读取新结构时出现不兼容。</w:t>
            </w:r>
          </w:p>
        </w:tc>
      </w:tr>
    </w:tbl>
    <w:p>
      <w:pPr/>
    </w:p>
    <w:p>
      <w:pPr>
        <w:pStyle w:val="Heading1"/>
      </w:pPr>
      <w:r>
        <w:t>十四、运维监控建议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定期检查容器或进程存活状态。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定期检查磁盘空间，尤其是 data 和 attachments 目录。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定期备份数据库与附件。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关注服务日志中的迁移失败、登录失败、PAMS 同步失败和上传异常。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定期检查管理员账号和角色权限。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生产环境不要使用示例密钥和示例密码。</w:t>
      </w:r>
    </w:p>
    <w:p>
      <w:pPr>
        <w:pStyle w:val="Heading1"/>
      </w:pPr>
      <w:r>
        <w:t>十五、常见故障处理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服务启动失败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查看日志，重点检查 .env、数据库连接、端口占用和权限。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生产登录失败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 ADMIN_PASSWORD、账号状态、验证码、密码过期和锁定状态。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静态页面打不开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确认 web/dist 已构建，WEB_DIST 指向正确，生产模式后端已托管静态资源。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TDSQL 连接失败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检查地址、端口、账号、密码、库名、SSL、网络和防火墙。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附件上传失败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检查文件大小、扩展名白名单、附件目录权限和磁盘空间。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PAMS 同步失败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检查 PAMS_BASE_URL、PAMS_API_KEY、网络、超时时间和外部接口返回。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导出失败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检查数据量、服务日志、Word/Excel 生成依赖和文件权限。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 w:eastAsia="Microsoft YaHei"/>
        <w:b w:val="0"/>
        <w:color w:val="666666"/>
        <w:sz w:val="18"/>
      </w:rPr>
      <w:t>RADAR · 日常需求研发流程管理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