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.png" ContentType="image/jpeg"/>
  <Override PartName="/word/media/image2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88" w:lineRule="auto"/>
      </w:pPr>
      <w:r>
        <w:rPr>
          <w:rFonts w:ascii="Arial Unicode MS" w:hAnsi="Arial Unicode MS" w:eastAsia="Arial Unicode MS" w:cs="Arial Unicode MS"/>
          <w:b/>
          <w:i w:val="0"/>
          <w:color w:val="2E74B5"/>
          <w:sz w:val="32"/>
        </w:rPr>
        <w:t>RADAR</w:t>
      </w:r>
    </w:p>
    <w:p>
      <w:pPr>
        <w:spacing w:before="0" w:after="80" w:line="288" w:lineRule="auto"/>
      </w:pPr>
      <w:r>
        <w:rPr>
          <w:rFonts w:ascii="Arial Unicode MS" w:hAnsi="Arial Unicode MS" w:eastAsia="Arial Unicode MS" w:cs="Arial Unicode MS"/>
          <w:b/>
          <w:i w:val="0"/>
          <w:color w:val="222B36"/>
          <w:sz w:val="44"/>
        </w:rPr>
        <w:t>工单分析操作手册</w:t>
      </w:r>
    </w:p>
    <w:p>
      <w:pPr>
        <w:spacing w:before="0" w:after="360" w:line="288" w:lineRule="auto"/>
      </w:pPr>
      <w:r>
        <w:rPr>
          <w:rFonts w:ascii="Arial Unicode MS" w:hAnsi="Arial Unicode MS" w:eastAsia="Arial Unicode MS" w:cs="Arial Unicode MS"/>
          <w:b w:val="0"/>
          <w:i w:val="0"/>
          <w:color w:val="5C6877"/>
          <w:sz w:val="22"/>
        </w:rPr>
        <w:t>面向工单登记与分析人员，说明工单录入、维护、查询、导入导出与留痕查看</w:t>
      </w:r>
    </w:p>
    <w:p>
      <w:pPr>
        <w:spacing w:before="0" w:after="280" w:line="288" w:lineRule="auto"/>
      </w:pPr>
      <w:r>
        <w:rPr>
          <w:rFonts w:ascii="Arial Unicode MS" w:hAnsi="Arial Unicode MS" w:eastAsia="Arial Unicode MS" w:cs="Arial Unicode MS"/>
          <w:b w:val="0"/>
          <w:i w:val="0"/>
          <w:color w:val="5C6877"/>
          <w:sz w:val="19"/>
        </w:rPr>
        <w:t>适用版本：本地 main 分支最新页面；资料依据近期代码变更与本地演示数据截图编制。</w:t>
      </w:r>
    </w:p>
    <w:p>
      <w:pPr>
        <w:pStyle w:val="Heading1"/>
        <w:keepNext/>
        <w:spacing w:before="280" w:after="120"/>
      </w:pPr>
      <w:r>
        <w:rPr>
          <w:rFonts w:ascii="Arial Unicode MS" w:hAnsi="Arial Unicode MS" w:eastAsia="Arial Unicode MS" w:cs="Arial Unicode MS"/>
          <w:b/>
          <w:color w:val="2E74B5"/>
          <w:sz w:val="30"/>
        </w:rPr>
        <w:t>目录</w:t>
      </w:r>
    </w:p>
    <w:p>
      <w:pPr>
        <w:spacing w:before="0" w:after="40" w:line="288" w:lineRule="auto"/>
      </w:pPr>
      <w:r>
        <w:rPr>
          <w:rFonts w:ascii="Arial Unicode MS" w:hAnsi="Arial Unicode MS" w:eastAsia="Arial Unicode MS" w:cs="Arial Unicode MS"/>
          <w:b w:val="0"/>
          <w:i w:val="0"/>
          <w:color w:val="222B36"/>
          <w:sz w:val="20"/>
        </w:rPr>
        <w:t>一、手册说明</w:t>
      </w:r>
    </w:p>
    <w:p>
      <w:pPr>
        <w:spacing w:before="0" w:after="40" w:line="288" w:lineRule="auto"/>
      </w:pPr>
      <w:r>
        <w:rPr>
          <w:rFonts w:ascii="Arial Unicode MS" w:hAnsi="Arial Unicode MS" w:eastAsia="Arial Unicode MS" w:cs="Arial Unicode MS"/>
          <w:b w:val="0"/>
          <w:i w:val="0"/>
          <w:color w:val="222B36"/>
          <w:sz w:val="20"/>
        </w:rPr>
        <w:t>二、角色权限与使用边界</w:t>
      </w:r>
    </w:p>
    <w:p>
      <w:pPr>
        <w:spacing w:before="0" w:after="40" w:line="288" w:lineRule="auto"/>
      </w:pPr>
      <w:r>
        <w:rPr>
          <w:rFonts w:ascii="Arial Unicode MS" w:hAnsi="Arial Unicode MS" w:eastAsia="Arial Unicode MS" w:cs="Arial Unicode MS"/>
          <w:b w:val="0"/>
          <w:i w:val="0"/>
          <w:color w:val="222B36"/>
          <w:sz w:val="20"/>
        </w:rPr>
        <w:t>三、登录与进入工单分析</w:t>
      </w:r>
    </w:p>
    <w:p>
      <w:pPr>
        <w:spacing w:before="0" w:after="40" w:line="288" w:lineRule="auto"/>
      </w:pPr>
      <w:r>
        <w:rPr>
          <w:rFonts w:ascii="Arial Unicode MS" w:hAnsi="Arial Unicode MS" w:eastAsia="Arial Unicode MS" w:cs="Arial Unicode MS"/>
          <w:b w:val="0"/>
          <w:i w:val="0"/>
          <w:color w:val="222B36"/>
          <w:sz w:val="20"/>
        </w:rPr>
        <w:t>四、页面布局与查询筛选</w:t>
      </w:r>
    </w:p>
    <w:p>
      <w:pPr>
        <w:spacing w:before="0" w:after="40" w:line="288" w:lineRule="auto"/>
      </w:pPr>
      <w:r>
        <w:rPr>
          <w:rFonts w:ascii="Arial Unicode MS" w:hAnsi="Arial Unicode MS" w:eastAsia="Arial Unicode MS" w:cs="Arial Unicode MS"/>
          <w:b w:val="0"/>
          <w:i w:val="0"/>
          <w:color w:val="222B36"/>
          <w:sz w:val="20"/>
        </w:rPr>
        <w:t>五、新增工单</w:t>
      </w:r>
    </w:p>
    <w:p>
      <w:pPr>
        <w:spacing w:before="0" w:after="40" w:line="288" w:lineRule="auto"/>
      </w:pPr>
      <w:r>
        <w:rPr>
          <w:rFonts w:ascii="Arial Unicode MS" w:hAnsi="Arial Unicode MS" w:eastAsia="Arial Unicode MS" w:cs="Arial Unicode MS"/>
          <w:b w:val="0"/>
          <w:i w:val="0"/>
          <w:color w:val="222B36"/>
          <w:sz w:val="20"/>
        </w:rPr>
        <w:t>六、字段填写规范</w:t>
      </w:r>
    </w:p>
    <w:p>
      <w:pPr>
        <w:spacing w:before="0" w:after="40" w:line="288" w:lineRule="auto"/>
      </w:pPr>
      <w:r>
        <w:rPr>
          <w:rFonts w:ascii="Arial Unicode MS" w:hAnsi="Arial Unicode MS" w:eastAsia="Arial Unicode MS" w:cs="Arial Unicode MS"/>
          <w:b w:val="0"/>
          <w:i w:val="0"/>
          <w:color w:val="222B36"/>
          <w:sz w:val="20"/>
        </w:rPr>
        <w:t>七、编辑工单、附件与历史留痕</w:t>
      </w:r>
    </w:p>
    <w:p>
      <w:pPr>
        <w:spacing w:before="0" w:after="40" w:line="288" w:lineRule="auto"/>
      </w:pPr>
      <w:r>
        <w:rPr>
          <w:rFonts w:ascii="Arial Unicode MS" w:hAnsi="Arial Unicode MS" w:eastAsia="Arial Unicode MS" w:cs="Arial Unicode MS"/>
          <w:b w:val="0"/>
          <w:i w:val="0"/>
          <w:color w:val="222B36"/>
          <w:sz w:val="20"/>
        </w:rPr>
        <w:t>八、导入、导出与批量维护</w:t>
      </w:r>
    </w:p>
    <w:p>
      <w:pPr>
        <w:spacing w:before="0" w:after="40" w:line="288" w:lineRule="auto"/>
      </w:pPr>
      <w:r>
        <w:rPr>
          <w:rFonts w:ascii="Arial Unicode MS" w:hAnsi="Arial Unicode MS" w:eastAsia="Arial Unicode MS" w:cs="Arial Unicode MS"/>
          <w:b w:val="0"/>
          <w:i w:val="0"/>
          <w:color w:val="222B36"/>
          <w:sz w:val="20"/>
        </w:rPr>
        <w:t>九、删除、限制与常见提示</w:t>
      </w:r>
    </w:p>
    <w:p>
      <w:pPr>
        <w:spacing w:before="0" w:after="40" w:line="288" w:lineRule="auto"/>
      </w:pPr>
      <w:r>
        <w:rPr>
          <w:rFonts w:ascii="Arial Unicode MS" w:hAnsi="Arial Unicode MS" w:eastAsia="Arial Unicode MS" w:cs="Arial Unicode MS"/>
          <w:b w:val="0"/>
          <w:i w:val="0"/>
          <w:color w:val="222B36"/>
          <w:sz w:val="20"/>
        </w:rPr>
        <w:t>十、日常操作检查清单</w:t>
      </w:r>
    </w:p>
    <w:p>
      <w:pPr>
        <w:pStyle w:val="Heading1"/>
        <w:keepNext/>
        <w:spacing w:before="280" w:after="120"/>
      </w:pPr>
      <w:r>
        <w:rPr>
          <w:rFonts w:ascii="Arial Unicode MS" w:hAnsi="Arial Unicode MS" w:eastAsia="Arial Unicode MS" w:cs="Arial Unicode MS"/>
          <w:b/>
          <w:color w:val="2E74B5"/>
          <w:sz w:val="30"/>
        </w:rPr>
        <w:t>一、手册说明</w:t>
      </w:r>
    </w:p>
    <w:p>
      <w:pPr>
        <w:spacing w:before="0" w:after="120" w:line="288" w:lineRule="auto"/>
      </w:pPr>
      <w:r>
        <w:rPr>
          <w:rFonts w:ascii="Arial Unicode MS" w:hAnsi="Arial Unicode MS" w:eastAsia="Arial Unicode MS" w:cs="Arial Unicode MS"/>
          <w:b w:val="0"/>
          <w:i w:val="0"/>
          <w:color w:val="222B36"/>
          <w:sz w:val="21"/>
        </w:rPr>
        <w:t>本文档用于指导用户在 RADAR 系统中完成工单分析模块的日常操作，包括查看工单、新增工单、关联问题、维护计划投产点、主责系统、协同系统、负责人、附件、历史记录以及 Excel 导入导出。</w:t>
      </w:r>
    </w:p>
    <w:p>
      <w:pPr>
        <w:pStyle w:val="Heading1"/>
        <w:keepNext/>
        <w:spacing w:before="280" w:after="120"/>
      </w:pPr>
      <w:r>
        <w:rPr>
          <w:rFonts w:ascii="Arial Unicode MS" w:hAnsi="Arial Unicode MS" w:eastAsia="Arial Unicode MS" w:cs="Arial Unicode MS"/>
          <w:b/>
          <w:color w:val="2E74B5"/>
          <w:sz w:val="30"/>
        </w:rPr>
        <w:t>二、角色权限与使用边界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304"/>
            <w:vAlign w:val="center"/>
            <w:shd w:fill="E8EEF5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1F4D78"/>
                <w:sz w:val="19"/>
              </w:rPr>
              <w:t>角色/人员</w:t>
            </w:r>
          </w:p>
        </w:tc>
        <w:tc>
          <w:tcPr>
            <w:tcW w:type="dxa" w:w="4032"/>
            <w:vAlign w:val="center"/>
            <w:shd w:fill="E8EEF5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1F4D78"/>
                <w:sz w:val="19"/>
              </w:rPr>
              <w:t>可执行操作</w:t>
            </w:r>
          </w:p>
        </w:tc>
        <w:tc>
          <w:tcPr>
            <w:tcW w:type="dxa" w:w="2736"/>
            <w:vAlign w:val="center"/>
            <w:shd w:fill="E8EEF5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1F4D78"/>
                <w:sz w:val="19"/>
              </w:rPr>
              <w:t>注意事项</w:t>
            </w:r>
          </w:p>
        </w:tc>
      </w:tr>
      <w:tr>
        <w:tc>
          <w:tcPr>
            <w:tcW w:type="dxa" w:w="2304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color w:val="222B36"/>
                <w:sz w:val="18"/>
              </w:rPr>
              <w:t>工单分析人员/农信业务人员</w:t>
            </w:r>
          </w:p>
        </w:tc>
        <w:tc>
          <w:tcPr>
            <w:tcW w:type="dxa" w:w="4032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color w:val="222B36"/>
                <w:sz w:val="18"/>
              </w:rPr>
              <w:t>查看、筛选、维护工单分析相关数据</w:t>
            </w:r>
          </w:p>
        </w:tc>
        <w:tc>
          <w:tcPr>
            <w:tcW w:type="dxa" w:w="2736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color w:val="222B36"/>
                <w:sz w:val="18"/>
              </w:rPr>
              <w:t>以系统分配的菜单权限、字段权限和状态必填规则为准。</w:t>
            </w:r>
          </w:p>
        </w:tc>
      </w:tr>
      <w:tr>
        <w:tc>
          <w:tcPr>
            <w:tcW w:type="dxa" w:w="2304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color w:val="222B36"/>
                <w:sz w:val="18"/>
              </w:rPr>
              <w:t>管理员/超级管理员</w:t>
            </w:r>
          </w:p>
        </w:tc>
        <w:tc>
          <w:tcPr>
            <w:tcW w:type="dxa" w:w="4032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color w:val="222B36"/>
                <w:sz w:val="18"/>
              </w:rPr>
              <w:t>配置基础资料、处理异常数据、维护权限和导入导出</w:t>
            </w:r>
          </w:p>
        </w:tc>
        <w:tc>
          <w:tcPr>
            <w:tcW w:type="dxa" w:w="2736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color w:val="222B36"/>
                <w:sz w:val="18"/>
              </w:rPr>
              <w:t>仅在业务确认后执行删除、覆盖导入、密码重置等管理动作。</w:t>
            </w:r>
          </w:p>
        </w:tc>
      </w:tr>
    </w:tbl>
    <w:p>
      <w:pPr>
        <w:spacing w:before="0" w:after="40" w:line="288" w:lineRule="auto"/>
      </w:pPr>
    </w:p>
    <w:p>
      <w:pPr>
        <w:pStyle w:val="Heading1"/>
        <w:keepNext/>
        <w:spacing w:before="280" w:after="120"/>
      </w:pPr>
      <w:r>
        <w:rPr>
          <w:rFonts w:ascii="Arial Unicode MS" w:hAnsi="Arial Unicode MS" w:eastAsia="Arial Unicode MS" w:cs="Arial Unicode MS"/>
          <w:b/>
          <w:color w:val="2E74B5"/>
          <w:sz w:val="30"/>
        </w:rPr>
        <w:t>三、登录与进入工单分析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1. 打开系统访问地址，进入登录页。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2. 输入管理员分配的登录名或手机号、密码，点击登录。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3. 登录后确认左下角用户信息显示为本人，并确认当前角色具备对应菜单权限。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4. 在左侧菜单点击“工单分析”，进入列表页面。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5. 确认顶部投产点选择范围正确；若需要跨投产点查询，可切换为“所有投产点”。</w:t>
      </w:r>
    </w:p>
    <w:p>
      <w:pPr>
        <w:pStyle w:val="Heading1"/>
        <w:keepNext/>
        <w:spacing w:before="280" w:after="120"/>
      </w:pPr>
      <w:r>
        <w:rPr>
          <w:rFonts w:ascii="Arial Unicode MS" w:hAnsi="Arial Unicode MS" w:eastAsia="Arial Unicode MS" w:cs="Arial Unicode MS"/>
          <w:b/>
          <w:color w:val="2E74B5"/>
          <w:sz w:val="30"/>
        </w:rPr>
        <w:t>四、页面布局与查询筛选</w:t>
      </w:r>
    </w:p>
    <w:p>
      <w:pPr>
        <w:spacing w:before="0" w:after="120" w:line="288" w:lineRule="auto"/>
      </w:pPr>
      <w:r>
        <w:rPr>
          <w:rFonts w:ascii="Arial Unicode MS" w:hAnsi="Arial Unicode MS" w:eastAsia="Arial Unicode MS" w:cs="Arial Unicode MS"/>
          <w:b w:val="0"/>
          <w:i w:val="0"/>
          <w:color w:val="222B36"/>
          <w:sz w:val="21"/>
        </w:rPr>
        <w:t>工单分析页面由左侧菜单、顶部投产窗口、筛选区、导入导出按钮、工单列表和操作列组成。列表默认按顶部投产点范围加载数据，可按实施机构、工单编号、工单内容、计划投产点、状态、类型、提出人和系统进行筛选。</w:t>
      </w:r>
    </w:p>
    <w:p>
      <w:pPr>
        <w:spacing w:before="80" w:after="80" w:line="288" w:lineRule="auto"/>
        <w:jc w:val="center"/>
      </w:pPr>
      <w:r>
        <w:rPr>
          <w:rFonts w:ascii="Arial Unicode MS" w:hAnsi="Arial Unicode MS" w:eastAsia="Arial Unicode MS" w:cs="Arial Unicode MS"/>
          <w:b/>
          <w:i w:val="0"/>
          <w:color w:val="5C6877"/>
          <w:sz w:val="19"/>
        </w:rPr>
        <w:t>图 1  工单分析列表页</w:t>
      </w:r>
    </w:p>
    <w:p>
      <w:pPr>
        <w:spacing w:after="160"/>
        <w:jc w:val="center"/>
      </w:pPr>
      <w:r>
        <w:rPr>
          <w:rFonts w:ascii="Arial Unicode MS" w:hAnsi="Arial Unicode MS" w:eastAsia="Arial Unicode MS" w:cs="Arial Unicode MS"/>
        </w:rPr>
        <w:drawing>
          <wp:inline xmlns:a="http://schemas.openxmlformats.org/drawingml/2006/main" xmlns:pic="http://schemas.openxmlformats.org/drawingml/2006/picture">
            <wp:extent cx="5806440" cy="3268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ckets-01-lis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8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keepNext/>
        <w:spacing w:before="200" w:after="80"/>
      </w:pPr>
      <w:r>
        <w:rPr>
          <w:rFonts w:ascii="Arial Unicode MS" w:hAnsi="Arial Unicode MS" w:eastAsia="Arial Unicode MS" w:cs="Arial Unicode MS"/>
          <w:b/>
          <w:color w:val="1F4D78"/>
          <w:sz w:val="25"/>
        </w:rPr>
        <w:t>4.1 常用查询方式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160"/>
            <w:vAlign w:val="center"/>
            <w:shd w:fill="E8EEF5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1F4D78"/>
                <w:sz w:val="19"/>
              </w:rPr>
              <w:t>查询目标</w:t>
            </w:r>
          </w:p>
        </w:tc>
        <w:tc>
          <w:tcPr>
            <w:tcW w:type="dxa" w:w="3168"/>
            <w:vAlign w:val="center"/>
            <w:shd w:fill="E8EEF5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1F4D78"/>
                <w:sz w:val="19"/>
              </w:rPr>
              <w:t>推荐条件</w:t>
            </w:r>
          </w:p>
        </w:tc>
        <w:tc>
          <w:tcPr>
            <w:tcW w:type="dxa" w:w="3744"/>
            <w:vAlign w:val="center"/>
            <w:shd w:fill="E8EEF5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1F4D78"/>
                <w:sz w:val="19"/>
              </w:rPr>
              <w:t>说明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color w:val="222B36"/>
                <w:sz w:val="18"/>
              </w:rPr>
              <w:t>定位单条工单</w:t>
            </w:r>
          </w:p>
        </w:tc>
        <w:tc>
          <w:tcPr>
            <w:tcW w:type="dxa" w:w="3168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color w:val="222B36"/>
                <w:sz w:val="18"/>
              </w:rPr>
              <w:t>工单编号</w:t>
            </w:r>
          </w:p>
        </w:tc>
        <w:tc>
          <w:tcPr>
            <w:tcW w:type="dxa" w:w="3744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color w:val="222B36"/>
                <w:sz w:val="18"/>
              </w:rPr>
              <w:t>支持模糊检索，编号采用等宽字体展示，便于核对。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color w:val="222B36"/>
                <w:sz w:val="18"/>
              </w:rPr>
              <w:t>按投产窗口查看</w:t>
            </w:r>
          </w:p>
        </w:tc>
        <w:tc>
          <w:tcPr>
            <w:tcW w:type="dxa" w:w="3168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color w:val="222B36"/>
                <w:sz w:val="18"/>
              </w:rPr>
              <w:t>顶部投产点或更多筛选中的计划投产点</w:t>
            </w:r>
          </w:p>
        </w:tc>
        <w:tc>
          <w:tcPr>
            <w:tcW w:type="dxa" w:w="3744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color w:val="222B36"/>
                <w:sz w:val="18"/>
              </w:rPr>
              <w:t>顶部投产点影响列表基础范围；更多筛选用于进一步收窄。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color w:val="222B36"/>
                <w:sz w:val="18"/>
              </w:rPr>
              <w:t>按处理阶段跟踪</w:t>
            </w:r>
          </w:p>
        </w:tc>
        <w:tc>
          <w:tcPr>
            <w:tcW w:type="dxa" w:w="3168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color w:val="222B36"/>
                <w:sz w:val="18"/>
              </w:rPr>
              <w:t>工单状态</w:t>
            </w:r>
          </w:p>
        </w:tc>
        <w:tc>
          <w:tcPr>
            <w:tcW w:type="dxa" w:w="3744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color w:val="222B36"/>
                <w:sz w:val="18"/>
              </w:rPr>
              <w:t>状态来自系统字典“工单”阶段。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color w:val="222B36"/>
                <w:sz w:val="18"/>
              </w:rPr>
              <w:t>按系统排查</w:t>
            </w:r>
          </w:p>
        </w:tc>
        <w:tc>
          <w:tcPr>
            <w:tcW w:type="dxa" w:w="3168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color w:val="222B36"/>
                <w:sz w:val="18"/>
              </w:rPr>
              <w:t>主责系统、协同改造系统、协同测试系统</w:t>
            </w:r>
          </w:p>
        </w:tc>
        <w:tc>
          <w:tcPr>
            <w:tcW w:type="dxa" w:w="3744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color w:val="222B36"/>
                <w:sz w:val="18"/>
              </w:rPr>
              <w:t>系统标签用于判断后续开发/测试承接范围。</w:t>
            </w:r>
          </w:p>
        </w:tc>
      </w:tr>
    </w:tbl>
    <w:p>
      <w:pPr>
        <w:spacing w:before="0" w:after="40" w:line="288" w:lineRule="auto"/>
      </w:pPr>
    </w:p>
    <w:p>
      <w:pPr>
        <w:pStyle w:val="Heading1"/>
        <w:keepNext/>
        <w:spacing w:before="280" w:after="120"/>
      </w:pPr>
      <w:r>
        <w:rPr>
          <w:rFonts w:ascii="Arial Unicode MS" w:hAnsi="Arial Unicode MS" w:eastAsia="Arial Unicode MS" w:cs="Arial Unicode MS"/>
          <w:b/>
          <w:color w:val="2E74B5"/>
          <w:sz w:val="30"/>
        </w:rPr>
        <w:t>五、新增工单</w:t>
      </w:r>
    </w:p>
    <w:p>
      <w:pPr>
        <w:spacing w:before="0" w:after="120" w:line="288" w:lineRule="auto"/>
      </w:pPr>
      <w:r>
        <w:rPr>
          <w:rFonts w:ascii="Arial Unicode MS" w:hAnsi="Arial Unicode MS" w:eastAsia="Arial Unicode MS" w:cs="Arial Unicode MS"/>
          <w:b w:val="0"/>
          <w:i w:val="0"/>
          <w:color w:val="222B36"/>
          <w:sz w:val="21"/>
        </w:rPr>
        <w:t>新增工单用于登记来自问题、服务请求或临时急迫需求的工作项。建议录入前准备工单编号、概述、提出部门/提出人、计划投产点、工单类型、涉账标识和涉及系统。</w:t>
      </w:r>
    </w:p>
    <w:p>
      <w:pPr>
        <w:spacing w:before="80" w:after="80" w:line="288" w:lineRule="auto"/>
        <w:jc w:val="center"/>
      </w:pPr>
      <w:r>
        <w:rPr>
          <w:rFonts w:ascii="Arial Unicode MS" w:hAnsi="Arial Unicode MS" w:eastAsia="Arial Unicode MS" w:cs="Arial Unicode MS"/>
          <w:b/>
          <w:i w:val="0"/>
          <w:color w:val="5C6877"/>
          <w:sz w:val="19"/>
        </w:rPr>
        <w:t>图 2  新增工单弹窗</w:t>
      </w:r>
    </w:p>
    <w:p>
      <w:pPr>
        <w:spacing w:after="160"/>
        <w:jc w:val="center"/>
      </w:pPr>
      <w:r>
        <w:rPr>
          <w:rFonts w:ascii="Arial Unicode MS" w:hAnsi="Arial Unicode MS" w:eastAsia="Arial Unicode MS" w:cs="Arial Unicode MS"/>
        </w:rPr>
        <w:drawing>
          <wp:inline xmlns:a="http://schemas.openxmlformats.org/drawingml/2006/main" xmlns:pic="http://schemas.openxmlformats.org/drawingml/2006/picture">
            <wp:extent cx="5806440" cy="326612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ckets-02-ne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keepNext/>
        <w:spacing w:before="200" w:after="80"/>
      </w:pPr>
      <w:r>
        <w:rPr>
          <w:rFonts w:ascii="Arial Unicode MS" w:hAnsi="Arial Unicode MS" w:eastAsia="Arial Unicode MS" w:cs="Arial Unicode MS"/>
          <w:b/>
          <w:color w:val="1F4D78"/>
          <w:sz w:val="25"/>
        </w:rPr>
        <w:t>5.1 新增操作步骤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1. 在工单分析页面点击“添加工单”。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2. 如工单来源于问题，可在工单编号输入框检索问题编号或工单号，系统会自动带入问题摘要、详情和相关系统。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3. 选择工单状态、计划投产点、工单类型、是否涉账、提出时间和提出人。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4. 填写工单概述和工单详情，确保能支撑开发/测试人员理解处理范围。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5. 选择主责系统；如存在配合改造或配合测试范围，继续选择协同改造系统和协同测试系统。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6. 确认负责人、提出部门等信息后点击保存。</w:t>
      </w:r>
    </w:p>
    <w:p>
      <w:pPr>
        <w:pStyle w:val="Heading1"/>
        <w:keepNext/>
        <w:spacing w:before="280" w:after="120"/>
      </w:pPr>
      <w:r>
        <w:rPr>
          <w:rFonts w:ascii="Arial Unicode MS" w:hAnsi="Arial Unicode MS" w:eastAsia="Arial Unicode MS" w:cs="Arial Unicode MS"/>
          <w:b/>
          <w:color w:val="2E74B5"/>
          <w:sz w:val="30"/>
        </w:rPr>
        <w:t>六、字段填写规范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088"/>
            <w:vAlign w:val="center"/>
            <w:shd w:fill="E8EEF5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1F4D78"/>
                <w:sz w:val="19"/>
              </w:rPr>
              <w:t>字段</w:t>
            </w:r>
          </w:p>
        </w:tc>
        <w:tc>
          <w:tcPr>
            <w:tcW w:type="dxa" w:w="4320"/>
            <w:vAlign w:val="center"/>
            <w:shd w:fill="E8EEF5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1F4D78"/>
                <w:sz w:val="19"/>
              </w:rPr>
              <w:t>填写要求</w:t>
            </w:r>
          </w:p>
        </w:tc>
        <w:tc>
          <w:tcPr>
            <w:tcW w:type="dxa" w:w="2664"/>
            <w:vAlign w:val="center"/>
            <w:shd w:fill="E8EEF5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1F4D78"/>
                <w:sz w:val="19"/>
              </w:rPr>
              <w:t>影响</w:t>
            </w:r>
          </w:p>
        </w:tc>
      </w:tr>
      <w:tr>
        <w:tc>
          <w:tcPr>
            <w:tcW w:type="dxa" w:w="2088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color w:val="222B36"/>
                <w:sz w:val="18"/>
              </w:rPr>
              <w:t>工单编号</w:t>
            </w:r>
          </w:p>
        </w:tc>
        <w:tc>
          <w:tcPr>
            <w:tcW w:type="dxa" w:w="4320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color w:val="222B36"/>
                <w:sz w:val="18"/>
              </w:rPr>
              <w:t>全局唯一，不包含空格；已关联开发/测试任务后通常锁定。</w:t>
            </w:r>
          </w:p>
        </w:tc>
        <w:tc>
          <w:tcPr>
            <w:tcW w:type="dxa" w:w="2664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color w:val="222B36"/>
                <w:sz w:val="18"/>
              </w:rPr>
              <w:t>用于后续开发、测试、投产审批联动。</w:t>
            </w:r>
          </w:p>
        </w:tc>
      </w:tr>
      <w:tr>
        <w:tc>
          <w:tcPr>
            <w:tcW w:type="dxa" w:w="2088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color w:val="222B36"/>
                <w:sz w:val="18"/>
              </w:rPr>
              <w:t>计划投产点</w:t>
            </w:r>
          </w:p>
        </w:tc>
        <w:tc>
          <w:tcPr>
            <w:tcW w:type="dxa" w:w="4320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color w:val="222B36"/>
                <w:sz w:val="18"/>
              </w:rPr>
              <w:t>选择该工单计划进入的投产窗口。</w:t>
            </w:r>
          </w:p>
        </w:tc>
        <w:tc>
          <w:tcPr>
            <w:tcW w:type="dxa" w:w="2664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color w:val="222B36"/>
                <w:sz w:val="18"/>
              </w:rPr>
              <w:t>影响列表过滤、承接范围和投产申请联动。</w:t>
            </w:r>
          </w:p>
        </w:tc>
      </w:tr>
      <w:tr>
        <w:tc>
          <w:tcPr>
            <w:tcW w:type="dxa" w:w="2088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color w:val="222B36"/>
                <w:sz w:val="18"/>
              </w:rPr>
              <w:t>主责系统</w:t>
            </w:r>
          </w:p>
        </w:tc>
        <w:tc>
          <w:tcPr>
            <w:tcW w:type="dxa" w:w="4320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color w:val="222B36"/>
                <w:sz w:val="18"/>
              </w:rPr>
              <w:t>至少选择一个对工单负责的系统。</w:t>
            </w:r>
          </w:p>
        </w:tc>
        <w:tc>
          <w:tcPr>
            <w:tcW w:type="dxa" w:w="2664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color w:val="222B36"/>
                <w:sz w:val="18"/>
              </w:rPr>
              <w:t>开发承接时按系统拆分任务。</w:t>
            </w:r>
          </w:p>
        </w:tc>
      </w:tr>
      <w:tr>
        <w:tc>
          <w:tcPr>
            <w:tcW w:type="dxa" w:w="2088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color w:val="222B36"/>
                <w:sz w:val="18"/>
              </w:rPr>
              <w:t>协同系统</w:t>
            </w:r>
          </w:p>
        </w:tc>
        <w:tc>
          <w:tcPr>
            <w:tcW w:type="dxa" w:w="4320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color w:val="222B36"/>
                <w:sz w:val="18"/>
              </w:rPr>
              <w:t>仅在存在配合改造或配合测试时填写。</w:t>
            </w:r>
          </w:p>
        </w:tc>
        <w:tc>
          <w:tcPr>
            <w:tcW w:type="dxa" w:w="2664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color w:val="222B36"/>
                <w:sz w:val="18"/>
              </w:rPr>
              <w:t>用于生成协同开发/测试任务。</w:t>
            </w:r>
          </w:p>
        </w:tc>
      </w:tr>
    </w:tbl>
    <w:p>
      <w:pPr>
        <w:spacing w:before="0" w:after="40" w:line="288" w:lineRule="auto"/>
      </w:pPr>
    </w:p>
    <w:p>
      <w:pPr>
        <w:pStyle w:val="Heading1"/>
        <w:keepNext/>
        <w:spacing w:before="280" w:after="120"/>
      </w:pPr>
      <w:r>
        <w:rPr>
          <w:rFonts w:ascii="Arial Unicode MS" w:hAnsi="Arial Unicode MS" w:eastAsia="Arial Unicode MS" w:cs="Arial Unicode MS"/>
          <w:b/>
          <w:color w:val="2E74B5"/>
          <w:sz w:val="30"/>
        </w:rPr>
        <w:t>七、编辑工单、附件与历史留痕</w:t>
      </w:r>
    </w:p>
    <w:p>
      <w:pPr>
        <w:spacing w:before="0" w:after="120" w:line="288" w:lineRule="auto"/>
      </w:pPr>
      <w:r>
        <w:rPr>
          <w:rFonts w:ascii="Arial Unicode MS" w:hAnsi="Arial Unicode MS" w:eastAsia="Arial Unicode MS" w:cs="Arial Unicode MS"/>
          <w:b w:val="0"/>
          <w:i w:val="0"/>
          <w:color w:val="222B36"/>
          <w:sz w:val="21"/>
        </w:rPr>
        <w:t>用户可点击列表行或操作列编辑按钮打开工单详情。保存后，系统会记录操作人、操作时间、变更字段、变更前值和变更后值。</w:t>
      </w:r>
    </w:p>
    <w:p>
      <w:pPr>
        <w:spacing w:before="80" w:after="80" w:line="288" w:lineRule="auto"/>
        <w:jc w:val="center"/>
      </w:pPr>
      <w:r>
        <w:rPr>
          <w:rFonts w:ascii="Arial Unicode MS" w:hAnsi="Arial Unicode MS" w:eastAsia="Arial Unicode MS" w:cs="Arial Unicode MS"/>
          <w:b/>
          <w:i w:val="0"/>
          <w:color w:val="5C6877"/>
          <w:sz w:val="19"/>
        </w:rPr>
        <w:t>图 3  编辑已有工单</w:t>
      </w:r>
    </w:p>
    <w:p>
      <w:pPr>
        <w:spacing w:after="160"/>
        <w:jc w:val="center"/>
      </w:pPr>
      <w:r>
        <w:rPr>
          <w:rFonts w:ascii="Arial Unicode MS" w:hAnsi="Arial Unicode MS" w:eastAsia="Arial Unicode MS" w:cs="Arial Unicode MS"/>
        </w:rPr>
        <w:drawing>
          <wp:inline xmlns:a="http://schemas.openxmlformats.org/drawingml/2006/main" xmlns:pic="http://schemas.openxmlformats.org/drawingml/2006/picture">
            <wp:extent cx="5806440" cy="326612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ckets-02-ne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1. 在列表中找到目标工单，点击行或编辑图标。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2. 核对标题栏中的工单编号与状态，避免误改。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3. 维护基本信息、涉及系统、负责人和附件路径。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4. 保存后返回列表确认状态和计划投产点展示正确。</w:t>
      </w:r>
    </w:p>
    <w:p>
      <w:pPr>
        <w:pStyle w:val="Heading1"/>
        <w:keepNext/>
        <w:spacing w:before="280" w:after="120"/>
      </w:pPr>
      <w:r>
        <w:rPr>
          <w:rFonts w:ascii="Arial Unicode MS" w:hAnsi="Arial Unicode MS" w:eastAsia="Arial Unicode MS" w:cs="Arial Unicode MS"/>
          <w:b/>
          <w:color w:val="2E74B5"/>
          <w:sz w:val="30"/>
        </w:rPr>
        <w:t>八、导入、导出与批量维护</w:t>
      </w:r>
    </w:p>
    <w:p>
      <w:pPr>
        <w:spacing w:before="0" w:after="120" w:line="288" w:lineRule="auto"/>
      </w:pPr>
      <w:r>
        <w:rPr>
          <w:rFonts w:ascii="Arial Unicode MS" w:hAnsi="Arial Unicode MS" w:eastAsia="Arial Unicode MS" w:cs="Arial Unicode MS"/>
          <w:b w:val="0"/>
          <w:i w:val="0"/>
          <w:color w:val="222B36"/>
          <w:sz w:val="21"/>
        </w:rPr>
        <w:t>批量新增或更新工单时使用 Excel 导入；需要向项目组提供清单时使用导出。导入前应先下载模板，并选择覆盖更新、重复跳过或出错回滚等冲突处理方式。</w:t>
      </w:r>
    </w:p>
    <w:p>
      <w:pPr>
        <w:spacing w:before="80" w:after="80" w:line="288" w:lineRule="auto"/>
        <w:jc w:val="center"/>
      </w:pPr>
      <w:r>
        <w:rPr>
          <w:rFonts w:ascii="Arial Unicode MS" w:hAnsi="Arial Unicode MS" w:eastAsia="Arial Unicode MS" w:cs="Arial Unicode MS"/>
          <w:b/>
          <w:i w:val="0"/>
          <w:color w:val="5C6877"/>
          <w:sz w:val="19"/>
        </w:rPr>
        <w:t>图 4  工单 Excel 导入</w:t>
      </w:r>
    </w:p>
    <w:p>
      <w:pPr>
        <w:spacing w:after="160"/>
        <w:jc w:val="center"/>
      </w:pPr>
      <w:r>
        <w:rPr>
          <w:rFonts w:ascii="Arial Unicode MS" w:hAnsi="Arial Unicode MS" w:eastAsia="Arial Unicode MS" w:cs="Arial Unicode MS"/>
        </w:rPr>
        <w:drawing>
          <wp:inline xmlns:a="http://schemas.openxmlformats.org/drawingml/2006/main" xmlns:pic="http://schemas.openxmlformats.org/drawingml/2006/picture">
            <wp:extent cx="5806440" cy="326612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ckets-02-ne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keepNext/>
        <w:spacing w:before="280" w:after="120"/>
      </w:pPr>
      <w:r>
        <w:rPr>
          <w:rFonts w:ascii="Arial Unicode MS" w:hAnsi="Arial Unicode MS" w:eastAsia="Arial Unicode MS" w:cs="Arial Unicode MS"/>
          <w:b/>
          <w:color w:val="2E74B5"/>
          <w:sz w:val="30"/>
        </w:rPr>
        <w:t>九、删除、限制与常见提示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1. 已关联开发或测试任务的工单不建议删除，系统会对部分场景进行限制。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2. 编号、计划投产点、主责系统变更会影响后续承接和投产申请，请先与下游负责人确认。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3. 导入失败时优先检查必填字段、字典值、系统编号和投产点格式。</w:t>
      </w:r>
    </w:p>
    <w:p>
      <w:pPr>
        <w:pStyle w:val="Heading1"/>
        <w:keepNext/>
        <w:spacing w:before="280" w:after="120"/>
      </w:pPr>
      <w:r>
        <w:rPr>
          <w:rFonts w:ascii="Arial Unicode MS" w:hAnsi="Arial Unicode MS" w:eastAsia="Arial Unicode MS" w:cs="Arial Unicode MS"/>
          <w:b/>
          <w:color w:val="2E74B5"/>
          <w:sz w:val="30"/>
        </w:rPr>
        <w:t>十、日常操作检查清单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1. 进入页面后先确认顶部投产点范围。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2. 新增工单前准备编号、概述、投产点、主责系统和提出人。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3. 保存后检查列表状态、计划投产点和系统标签是否正确。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4. 批量导入前先下载模板并小批量验证。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152" w:bottom="1080" w:left="1152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 Unicode MS" w:hAnsi="Arial Unicode MS" w:eastAsia="Arial Unicode MS" w:cs="Arial Unicode MS"/>
        <w:color w:val="5C6877"/>
        <w:sz w:val="17"/>
      </w:rPr>
      <w:t>RADAR 日常需求研发流程管理平台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 Unicode MS" w:hAnsi="Arial Unicode MS" w:eastAsia="Arial Unicode MS" w:cs="Arial Unicode MS"/>
        <w:color w:val="5C6877"/>
        <w:sz w:val="17"/>
      </w:rPr>
      <w:t>RADAR · 工单分析操作手册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 Unicode MS" w:hAnsi="Arial Unicode MS" w:eastAsia="Arial Unicode MS" w:cs="Arial Unicode M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 Unicode MS" w:hAnsi="Arial Unicode MS" w:eastAsia="Arial Unicode MS" w:cs="Arial Unicode MS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Arial Unicode MS" w:hAnsi="Arial Unicode MS" w:eastAsia="Arial Unicode MS" w:cs="Arial Unicode MS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 Unicode MS" w:hAnsi="Arial Unicode MS" w:eastAsia="Arial Unicode MS" w:cs="Arial Unicode MS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Arial Unicode MS" w:hAnsi="Arial Unicode MS" w:eastAsia="Arial Unicode MS" w:cs="Arial Unicode M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Arial Unicode MS" w:hAnsi="Arial Unicode MS" w:eastAsia="Arial Unicode MS" w:cs="Arial Unicode MS"/>
    </w:rPr>
  </w:style>
  <w:style w:type="table" w:default="1" w:styleId="TableNormal">
    <w:name w:val="Normal Table"/>
    <w:uiPriority w:val="99"/>
    <w:semiHidden/>
    <w:unhideWhenUsed/>
    <w:rPr>
      <w:rFonts w:ascii="Arial Unicode MS" w:hAnsi="Arial Unicode MS" w:eastAsia="Arial Unicode MS" w:cs="Arial Unicode MS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Arial Unicode MS" w:hAnsi="Arial Unicode MS" w:eastAsia="Arial Unicode MS" w:cs="Arial Unicode MS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Arial Unicode MS" w:hAnsi="Arial Unicode MS" w:eastAsia="Arial Unicode MS" w:cs="Arial Unicode MS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rial Unicode MS" w:hAnsi="Arial Unicode MS" w:eastAsia="Arial Unicode MS" w:cs="Arial Unicode MS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Arial Unicode MS" w:hAnsi="Arial Unicode MS" w:eastAsia="Arial Unicode MS" w:cs="Arial Unicode MS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Arial Unicode MS" w:hAnsi="Arial Unicode MS" w:eastAsia="Arial Unicode MS" w:cs="Arial Unicode MS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Arial Unicode MS" w:hAnsi="Arial Unicode MS" w:eastAsia="Arial Unicode MS" w:cs="Arial Unicode MS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Arial Unicode MS" w:hAnsi="Arial Unicode MS" w:eastAsia="Arial Unicode MS" w:cs="Arial Unicode MS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Arial Unicode MS" w:hAnsi="Arial Unicode MS" w:eastAsia="Arial Unicode MS" w:cs="Arial Unicode MS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Arial Unicode MS" w:hAnsi="Arial Unicode MS" w:eastAsia="Arial Unicode MS" w:cs="Arial Unicode MS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Arial Unicode MS" w:hAnsi="Arial Unicode MS" w:eastAsia="Arial Unicode MS" w:cs="Arial Unicode MS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Arial Unicode MS" w:hAnsi="Arial Unicode MS" w:eastAsia="Arial Unicode MS" w:cs="Arial Unicode MS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 Unicode MS" w:hAnsi="Arial Unicode MS" w:eastAsia="Arial Unicode MS" w:cs="Arial Unicode MS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Arial Unicode MS" w:hAnsi="Arial Unicode MS" w:eastAsia="Arial Unicode MS" w:cs="Arial Unicode MS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Arial Unicode MS" w:hAnsi="Arial Unicode MS" w:eastAsia="Arial Unicode MS" w:cs="Arial Unicode MS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 Unicode MS" w:hAnsi="Arial Unicode MS" w:eastAsia="Arial Unicode MS" w:cs="Arial Unicode MS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Arial Unicode MS" w:hAnsi="Arial Unicode MS" w:eastAsia="Arial Unicode MS" w:cs="Arial Unicode MS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Arial Unicode MS" w:hAnsi="Arial Unicode MS" w:eastAsia="Arial Unicode MS" w:cs="Arial Unicode MS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Arial Unicode MS" w:hAnsi="Arial Unicode MS" w:eastAsia="Arial Unicode MS" w:cs="Arial Unicode MS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Arial Unicode MS" w:hAnsi="Arial Unicode MS" w:eastAsia="Arial Unicode MS" w:cs="Arial Unicode MS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Arial Unicode MS" w:hAnsi="Arial Unicode MS" w:eastAsia="Arial Unicode MS" w:cs="Arial Unicode MS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 Unicode MS" w:hAnsi="Arial Unicode MS" w:eastAsia="Arial Unicode MS" w:cs="Arial Unicode MS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 Unicode MS" w:hAnsi="Arial Unicode MS" w:eastAsia="Arial Unicode MS" w:cs="Arial Unicode MS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Arial Unicode MS" w:hAnsi="Arial Unicode MS" w:eastAsia="Arial Unicode MS" w:cs="Arial Unicode MS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Arial Unicode MS" w:hAnsi="Arial Unicode MS" w:eastAsia="Arial Unicode MS" w:cs="Arial Unicode MS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 Unicode MS" w:hAnsi="Arial Unicode MS" w:eastAsia="Arial Unicode MS" w:cs="Arial Unicode MS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Arial Unicode MS" w:hAnsi="Arial Unicode MS" w:eastAsia="Arial Unicode MS" w:cs="Arial Unicode MS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Arial Unicode MS" w:hAnsi="Arial Unicode MS" w:eastAsia="Arial Unicode MS" w:cs="Arial Unicode MS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Arial Unicode MS" w:hAnsi="Arial Unicode MS" w:eastAsia="Arial Unicode MS" w:cs="Arial Unicode MS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Arial Unicode MS" w:hAnsi="Arial Unicode MS" w:eastAsia="Arial Unicode MS" w:cs="Arial Unicode MS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Arial Unicode MS" w:hAnsi="Arial Unicode MS" w:eastAsia="Arial Unicode MS" w:cs="Arial Unicode MS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Arial Unicode MS" w:hAnsi="Arial Unicode MS" w:eastAsia="Arial Unicode MS" w:cs="Arial Unicode MS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Arial Unicode MS" w:hAnsi="Arial Unicode MS" w:eastAsia="Arial Unicode MS" w:cs="Arial Unicode MS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Arial Unicode MS" w:hAnsi="Arial Unicode MS" w:eastAsia="Arial Unicode MS" w:cs="Arial Unicode MS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Arial Unicode MS" w:hAnsi="Arial Unicode MS" w:eastAsia="Arial Unicode MS" w:cs="Arial Unicode MS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Arial Unicode MS" w:hAnsi="Arial Unicode MS" w:eastAsia="Arial Unicode MS" w:cs="Arial Unicode MS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Arial Unicode MS" w:hAnsi="Arial Unicode MS" w:eastAsia="Arial Unicode MS" w:cs="Arial Unicode MS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Arial Unicode MS" w:hAnsi="Arial Unicode MS" w:eastAsia="Arial Unicode MS" w:cs="Arial Unicode MS"/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Arial Unicode MS" w:hAnsi="Arial Unicode MS" w:eastAsia="Arial Unicode MS" w:cs="Arial Unicode MS"/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Arial Unicode MS" w:hAnsi="Arial Unicode MS" w:eastAsia="Arial Unicode MS" w:cs="Arial Unicode MS"/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Arial Unicode MS" w:hAnsi="Arial Unicode MS" w:eastAsia="Arial Unicode MS" w:cs="Arial Unicode MS"/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Arial Unicode MS" w:hAnsi="Arial Unicode MS" w:eastAsia="Arial Unicode MS" w:cs="Arial Unicode MS"/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Arial Unicode MS" w:hAnsi="Arial Unicode MS" w:eastAsia="Arial Unicode MS" w:cs="Arial Unicode MS"/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Arial Unicode MS" w:hAnsi="Arial Unicode MS" w:eastAsia="Arial Unicode MS" w:cs="Arial Unicode MS"/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