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media/image2.png" ContentType="image/jpeg"/>
  <Override PartName="/word/media/image3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</w:pPr>
      <w:r>
        <w:rPr>
          <w:rFonts w:ascii="Arial Unicode MS" w:hAnsi="Arial Unicode MS" w:eastAsia="Arial Unicode MS" w:cs="Arial Unicode MS"/>
          <w:b/>
          <w:i w:val="0"/>
          <w:color w:val="2E74B5"/>
          <w:sz w:val="32"/>
        </w:rPr>
        <w:t>RADAR</w:t>
      </w:r>
    </w:p>
    <w:p>
      <w:pPr>
        <w:spacing w:before="0" w:after="80" w:line="288" w:lineRule="auto"/>
      </w:pPr>
      <w:r>
        <w:rPr>
          <w:rFonts w:ascii="Arial Unicode MS" w:hAnsi="Arial Unicode MS" w:eastAsia="Arial Unicode MS" w:cs="Arial Unicode MS"/>
          <w:b/>
          <w:i w:val="0"/>
          <w:color w:val="222B36"/>
          <w:sz w:val="44"/>
        </w:rPr>
        <w:t>投产审批操作手册</w:t>
      </w:r>
    </w:p>
    <w:p>
      <w:pPr>
        <w:spacing w:before="0" w:after="36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5C6877"/>
          <w:sz w:val="22"/>
        </w:rPr>
        <w:t>面向投产审批和会签人员，说明按申请投产点拆分审批、会签、制品引用和文档导出</w:t>
      </w:r>
    </w:p>
    <w:p>
      <w:pPr>
        <w:spacing w:before="0" w:after="28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5C6877"/>
          <w:sz w:val="19"/>
        </w:rPr>
        <w:t>适用版本：本地 main 分支最新页面；资料依据近期代码变更与本地演示数据截图编制。</w:t>
      </w:r>
    </w:p>
    <w:p>
      <w:pPr>
        <w:pStyle w:val="Heading1"/>
        <w:keepNext/>
        <w:spacing w:before="280" w:after="120"/>
      </w:pPr>
      <w:r>
        <w:rPr>
          <w:rFonts w:ascii="Arial Unicode MS" w:hAnsi="Arial Unicode MS" w:eastAsia="Arial Unicode MS" w:cs="Arial Unicode MS"/>
          <w:b/>
          <w:color w:val="2E74B5"/>
          <w:sz w:val="30"/>
        </w:rPr>
        <w:t>目录</w:t>
      </w:r>
    </w:p>
    <w:p>
      <w:pPr>
        <w:spacing w:before="0" w:after="4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0"/>
        </w:rPr>
        <w:t>一、手册说明</w:t>
      </w:r>
    </w:p>
    <w:p>
      <w:pPr>
        <w:spacing w:before="0" w:after="4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0"/>
        </w:rPr>
        <w:t>二、角色权限与使用边界</w:t>
      </w:r>
    </w:p>
    <w:p>
      <w:pPr>
        <w:spacing w:before="0" w:after="4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0"/>
        </w:rPr>
        <w:t>三、登录与进入投产审批</w:t>
      </w:r>
    </w:p>
    <w:p>
      <w:pPr>
        <w:spacing w:before="0" w:after="4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0"/>
        </w:rPr>
        <w:t>四、页面布局与审批维度</w:t>
      </w:r>
    </w:p>
    <w:p>
      <w:pPr>
        <w:spacing w:before="0" w:after="4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0"/>
        </w:rPr>
        <w:t>五、查看审批详情</w:t>
      </w:r>
    </w:p>
    <w:p>
      <w:pPr>
        <w:spacing w:before="0" w:after="4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0"/>
        </w:rPr>
        <w:t>六、会签签署</w:t>
      </w:r>
    </w:p>
    <w:p>
      <w:pPr>
        <w:spacing w:before="0" w:after="4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0"/>
        </w:rPr>
        <w:t>七、投产信息、附件与制品情况</w:t>
      </w:r>
    </w:p>
    <w:p>
      <w:pPr>
        <w:spacing w:before="0" w:after="4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0"/>
        </w:rPr>
        <w:t>八、Word 导出与模板下载</w:t>
      </w:r>
    </w:p>
    <w:p>
      <w:pPr>
        <w:spacing w:before="0" w:after="4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0"/>
        </w:rPr>
        <w:t>九、限制与常见提示</w:t>
      </w:r>
    </w:p>
    <w:p>
      <w:pPr>
        <w:spacing w:before="0" w:after="4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0"/>
        </w:rPr>
        <w:t>十、日常操作检查清单</w:t>
      </w:r>
    </w:p>
    <w:p>
      <w:pPr>
        <w:pStyle w:val="Heading1"/>
        <w:keepNext/>
        <w:spacing w:before="280" w:after="120"/>
      </w:pPr>
      <w:r>
        <w:rPr>
          <w:rFonts w:ascii="Arial Unicode MS" w:hAnsi="Arial Unicode MS" w:eastAsia="Arial Unicode MS" w:cs="Arial Unicode MS"/>
          <w:b/>
          <w:color w:val="2E74B5"/>
          <w:sz w:val="30"/>
        </w:rPr>
        <w:t>一、手册说明</w:t>
      </w:r>
    </w:p>
    <w:p>
      <w:pPr>
        <w:spacing w:before="0" w:after="12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1"/>
        </w:rPr>
        <w:t>本文档用于指导用户在 RADAR 系统中完成投产审批，包括查看按申请投产点拆分的审批列表、维护投产状态和评审状态、签署会签、选择投产负责人、查看关联制品情况、下载投产变更方案/控制表模板以及导出版本发布评审单。</w:t>
      </w:r>
    </w:p>
    <w:p>
      <w:pPr>
        <w:pStyle w:val="Heading1"/>
        <w:keepNext/>
        <w:spacing w:before="280" w:after="120"/>
      </w:pPr>
      <w:r>
        <w:rPr>
          <w:rFonts w:ascii="Arial Unicode MS" w:hAnsi="Arial Unicode MS" w:eastAsia="Arial Unicode MS" w:cs="Arial Unicode MS"/>
          <w:b/>
          <w:color w:val="2E74B5"/>
          <w:sz w:val="30"/>
        </w:rPr>
        <w:t>二、角色权限与使用边界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304"/>
            <w:vAlign w:val="center"/>
            <w:shd w:fill="E8EEF5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9"/>
              </w:rPr>
              <w:t>角色/人员</w:t>
            </w:r>
          </w:p>
        </w:tc>
        <w:tc>
          <w:tcPr>
            <w:tcW w:type="dxa" w:w="4032"/>
            <w:vAlign w:val="center"/>
            <w:shd w:fill="E8EEF5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9"/>
              </w:rPr>
              <w:t>可执行操作</w:t>
            </w:r>
          </w:p>
        </w:tc>
        <w:tc>
          <w:tcPr>
            <w:tcW w:type="dxa" w:w="2736"/>
            <w:vAlign w:val="center"/>
            <w:shd w:fill="E8EEF5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9"/>
              </w:rPr>
              <w:t>注意事项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投产负责人/会签角色/管理员</w:t>
            </w:r>
          </w:p>
        </w:tc>
        <w:tc>
          <w:tcPr>
            <w:tcW w:type="dxa" w:w="4032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查看、筛选、维护投产审批相关数据</w:t>
            </w:r>
          </w:p>
        </w:tc>
        <w:tc>
          <w:tcPr>
            <w:tcW w:type="dxa" w:w="2736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以系统分配的菜单权限、字段权限和状态必填规则为准。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管理员/超级管理员</w:t>
            </w:r>
          </w:p>
        </w:tc>
        <w:tc>
          <w:tcPr>
            <w:tcW w:type="dxa" w:w="4032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配置基础资料、处理异常数据、维护权限和导入导出</w:t>
            </w:r>
          </w:p>
        </w:tc>
        <w:tc>
          <w:tcPr>
            <w:tcW w:type="dxa" w:w="2736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仅在业务确认后执行删除、覆盖导入、密码重置等管理动作。</w:t>
            </w:r>
          </w:p>
        </w:tc>
      </w:tr>
    </w:tbl>
    <w:p>
      <w:pPr>
        <w:spacing w:before="0" w:after="40" w:line="288" w:lineRule="auto"/>
      </w:pPr>
    </w:p>
    <w:p>
      <w:pPr>
        <w:pStyle w:val="Heading1"/>
        <w:keepNext/>
        <w:spacing w:before="280" w:after="120"/>
      </w:pPr>
      <w:r>
        <w:rPr>
          <w:rFonts w:ascii="Arial Unicode MS" w:hAnsi="Arial Unicode MS" w:eastAsia="Arial Unicode MS" w:cs="Arial Unicode MS"/>
          <w:b/>
          <w:color w:val="2E74B5"/>
          <w:sz w:val="30"/>
        </w:rPr>
        <w:t>三、登录与进入投产审批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打开系统访问地址，进入登录页。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输入管理员分配的登录名或手机号、密码，点击登录。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登录后确认左下角用户信息显示为本人，并确认当前角色具备对应菜单权限。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4. 在左侧菜单点击“投产审批”，进入列表页面。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5. 确认顶部投产点选择范围正确；若需要跨投产点查询，可切换为“所有投产点”。</w:t>
      </w:r>
    </w:p>
    <w:p>
      <w:pPr>
        <w:pStyle w:val="Heading1"/>
        <w:keepNext/>
        <w:spacing w:before="280" w:after="120"/>
      </w:pPr>
      <w:r>
        <w:rPr>
          <w:rFonts w:ascii="Arial Unicode MS" w:hAnsi="Arial Unicode MS" w:eastAsia="Arial Unicode MS" w:cs="Arial Unicode MS"/>
          <w:b/>
          <w:color w:val="2E74B5"/>
          <w:sz w:val="30"/>
        </w:rPr>
        <w:t>四、页面布局与审批维度</w:t>
      </w:r>
    </w:p>
    <w:p>
      <w:pPr>
        <w:spacing w:before="0" w:after="12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1"/>
        </w:rPr>
        <w:t>投产审批列表不再按需求/工单单条汇总，而是按照“需求/问题/工单 + 申请投产点”展示审批记录。不同申请投产点会列为多条记录，分别维护会签、投产负责人、附件和关联制品情况。列表中已使用“申请投产点”替代原“计划投产点”。</w:t>
      </w:r>
    </w:p>
    <w:p>
      <w:pPr>
        <w:spacing w:before="80" w:after="80" w:line="288" w:lineRule="auto"/>
        <w:jc w:val="center"/>
      </w:pPr>
      <w:r>
        <w:rPr>
          <w:rFonts w:ascii="Arial Unicode MS" w:hAnsi="Arial Unicode MS" w:eastAsia="Arial Unicode MS" w:cs="Arial Unicode MS"/>
          <w:b/>
          <w:i w:val="0"/>
          <w:color w:val="5C6877"/>
          <w:sz w:val="19"/>
        </w:rPr>
        <w:t>图 1  投产审批列表页</w:t>
      </w:r>
    </w:p>
    <w:p>
      <w:pPr>
        <w:spacing w:after="160"/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5806440" cy="3268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-approval-01-li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405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1872"/>
            <w:vAlign w:val="center"/>
            <w:shd w:fill="E8EEF5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9"/>
              </w:rPr>
              <w:t>列表字段</w:t>
            </w:r>
          </w:p>
        </w:tc>
        <w:tc>
          <w:tcPr>
            <w:tcW w:type="dxa" w:w="3528"/>
            <w:vAlign w:val="center"/>
            <w:shd w:fill="E8EEF5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9"/>
              </w:rPr>
              <w:t>含义</w:t>
            </w:r>
          </w:p>
        </w:tc>
        <w:tc>
          <w:tcPr>
            <w:tcW w:type="dxa" w:w="3672"/>
            <w:vAlign w:val="center"/>
            <w:shd w:fill="E8EEF5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9"/>
              </w:rPr>
              <w:t>操作提示</w:t>
            </w:r>
          </w:p>
        </w:tc>
      </w:tr>
      <w:tr>
        <w:tc>
          <w:tcPr>
            <w:tcW w:type="dxa" w:w="1872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投产状态</w:t>
            </w:r>
          </w:p>
        </w:tc>
        <w:tc>
          <w:tcPr>
            <w:tcW w:type="dxa" w:w="3528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审批对象当前投产推进状态。</w:t>
            </w:r>
          </w:p>
        </w:tc>
        <w:tc>
          <w:tcPr>
            <w:tcW w:type="dxa" w:w="3672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可在详情标题栏切换。</w:t>
            </w:r>
          </w:p>
        </w:tc>
      </w:tr>
      <w:tr>
        <w:tc>
          <w:tcPr>
            <w:tcW w:type="dxa" w:w="1872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评审状态</w:t>
            </w:r>
          </w:p>
        </w:tc>
        <w:tc>
          <w:tcPr>
            <w:tcW w:type="dxa" w:w="3528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会签评审整体状态。</w:t>
            </w:r>
          </w:p>
        </w:tc>
        <w:tc>
          <w:tcPr>
            <w:tcW w:type="dxa" w:w="3672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由详情中评审状态维护。</w:t>
            </w:r>
          </w:p>
        </w:tc>
      </w:tr>
      <w:tr>
        <w:tc>
          <w:tcPr>
            <w:tcW w:type="dxa" w:w="1872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会签进度</w:t>
            </w:r>
          </w:p>
        </w:tc>
        <w:tc>
          <w:tcPr>
            <w:tcW w:type="dxa" w:w="3528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已签署、驳回和总会签数。</w:t>
            </w:r>
          </w:p>
        </w:tc>
        <w:tc>
          <w:tcPr>
            <w:tcW w:type="dxa" w:w="3672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用于快速判断待处理角色。</w:t>
            </w:r>
          </w:p>
        </w:tc>
      </w:tr>
      <w:tr>
        <w:tc>
          <w:tcPr>
            <w:tcW w:type="dxa" w:w="1872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申请投产点</w:t>
            </w:r>
          </w:p>
        </w:tc>
        <w:tc>
          <w:tcPr>
            <w:tcW w:type="dxa" w:w="3528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本审批实例对应的投产申请点。</w:t>
            </w:r>
          </w:p>
        </w:tc>
        <w:tc>
          <w:tcPr>
            <w:tcW w:type="dxa" w:w="3672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同一工作项可在不同申请点下分别审批。</w:t>
            </w:r>
          </w:p>
        </w:tc>
      </w:tr>
    </w:tbl>
    <w:p>
      <w:pPr>
        <w:spacing w:before="0" w:after="40" w:line="288" w:lineRule="auto"/>
      </w:pPr>
    </w:p>
    <w:p>
      <w:pPr>
        <w:pStyle w:val="Heading1"/>
        <w:keepNext/>
        <w:spacing w:before="280" w:after="120"/>
      </w:pPr>
      <w:r>
        <w:rPr>
          <w:rFonts w:ascii="Arial Unicode MS" w:hAnsi="Arial Unicode MS" w:eastAsia="Arial Unicode MS" w:cs="Arial Unicode MS"/>
          <w:b/>
          <w:color w:val="2E74B5"/>
          <w:sz w:val="30"/>
        </w:rPr>
        <w:t>五、查看审批详情</w:t>
      </w:r>
    </w:p>
    <w:p>
      <w:pPr>
        <w:spacing w:before="0" w:after="12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1"/>
        </w:rPr>
        <w:t>点击列表行进入投产审批详情。详情左侧展示需求/工单/问题基本信息、阶段状态、影响性分析和测试覆盖情况；右侧展示申请投产点、投产负责人、申请人、投产材料和关联制品。</w:t>
      </w:r>
    </w:p>
    <w:p>
      <w:pPr>
        <w:spacing w:before="80" w:after="80" w:line="288" w:lineRule="auto"/>
        <w:jc w:val="center"/>
      </w:pPr>
      <w:r>
        <w:rPr>
          <w:rFonts w:ascii="Arial Unicode MS" w:hAnsi="Arial Unicode MS" w:eastAsia="Arial Unicode MS" w:cs="Arial Unicode MS"/>
          <w:b/>
          <w:i w:val="0"/>
          <w:color w:val="5C6877"/>
          <w:sz w:val="19"/>
        </w:rPr>
        <w:t>图 2  投产审批详情</w:t>
      </w:r>
    </w:p>
    <w:p>
      <w:pPr>
        <w:spacing w:after="160"/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5806440" cy="326612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-approval-02-detai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在投产审批列表中按变更编号、需求/工单编号、标题或状态筛选目标记录。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点击目标行进入详情，核对标题栏编号、投产状态和当前申请投产点。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检查开发、应用组装、用户测试、影响性分析和测试覆盖等阶段状态。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4. 在右侧确认投产负责人、申请人、发起时间和关联制品情况。</w:t>
      </w:r>
    </w:p>
    <w:p>
      <w:pPr>
        <w:pStyle w:val="Heading1"/>
        <w:keepNext/>
        <w:spacing w:before="280" w:after="120"/>
      </w:pPr>
      <w:r>
        <w:rPr>
          <w:rFonts w:ascii="Arial Unicode MS" w:hAnsi="Arial Unicode MS" w:eastAsia="Arial Unicode MS" w:cs="Arial Unicode MS"/>
          <w:b/>
          <w:color w:val="2E74B5"/>
          <w:sz w:val="30"/>
        </w:rPr>
        <w:t>六、会签签署</w:t>
      </w:r>
    </w:p>
    <w:p>
      <w:pPr>
        <w:spacing w:before="0" w:after="12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1"/>
        </w:rPr>
        <w:t>评审会签按角色展示。具备对应会签角色的用户可签署“同意”或“拒绝”；管理员可将不涉及角色设置为“不涉及”。签署时需选择已保存签名，或新建/上传签名后再确认。</w:t>
      </w:r>
    </w:p>
    <w:p>
      <w:pPr>
        <w:spacing w:before="80" w:after="80" w:line="288" w:lineRule="auto"/>
        <w:jc w:val="center"/>
      </w:pPr>
      <w:r>
        <w:rPr>
          <w:rFonts w:ascii="Arial Unicode MS" w:hAnsi="Arial Unicode MS" w:eastAsia="Arial Unicode MS" w:cs="Arial Unicode MS"/>
          <w:b/>
          <w:i w:val="0"/>
          <w:color w:val="5C6877"/>
          <w:sz w:val="19"/>
        </w:rPr>
        <w:t>图 3  会签签署弹窗</w:t>
      </w:r>
    </w:p>
    <w:p>
      <w:pPr>
        <w:spacing w:after="160"/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5806440" cy="326612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-approval-03-signoff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在“评审会签”区域点击本人负责的会签卡片。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选择签署结论：同意、拒绝或管理员设置不涉及。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填写签署意见，系统默认同意为“同意投产”，拒绝时需补充原因。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4. 选择签名；若无签名，可手写或上传图片并保存。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5. 点击“确认签署”后，列表会签进度和评审状态随之更新。</w:t>
      </w:r>
    </w:p>
    <w:p>
      <w:pPr>
        <w:pStyle w:val="Heading1"/>
        <w:keepNext/>
        <w:spacing w:before="280" w:after="120"/>
      </w:pPr>
      <w:r>
        <w:rPr>
          <w:rFonts w:ascii="Arial Unicode MS" w:hAnsi="Arial Unicode MS" w:eastAsia="Arial Unicode MS" w:cs="Arial Unicode MS"/>
          <w:b/>
          <w:color w:val="2E74B5"/>
          <w:sz w:val="30"/>
        </w:rPr>
        <w:t>七、投产信息、附件与制品情况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“申请投产点”是审批实例维度字段。若从审批详情修改申请投产点，系统会把该申请点下的会签、关联制品和投产负责人带入新投产点上下文；若目标点已有同一工作项审批，则按较新数据合并。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“关联制品情况”只展示当前申请投产点下、引用本需求/工单/问题的投产申请制品。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投产变更方案和投产变更控制表可上传文件或登记路径，字段右侧提供模板下载入口。</w:t>
      </w:r>
    </w:p>
    <w:p>
      <w:pPr>
        <w:pStyle w:val="Heading1"/>
        <w:keepNext/>
        <w:spacing w:before="280" w:after="120"/>
      </w:pPr>
      <w:r>
        <w:rPr>
          <w:rFonts w:ascii="Arial Unicode MS" w:hAnsi="Arial Unicode MS" w:eastAsia="Arial Unicode MS" w:cs="Arial Unicode MS"/>
          <w:b/>
          <w:color w:val="2E74B5"/>
          <w:sz w:val="30"/>
        </w:rPr>
        <w:t>八、Word 导出与模板下载</w:t>
      </w:r>
    </w:p>
    <w:p>
      <w:pPr>
        <w:spacing w:before="0" w:after="12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1"/>
        </w:rPr>
        <w:t>详情标题栏右侧提供导出 Word 按钮，可生成版本发布评审单。近期系统增强了投产变更方案模板和控制表模板下载，并支持将相关附件嵌入导出的投产方案，Excel 附件会显示图标。</w:t>
      </w:r>
    </w:p>
    <w:p>
      <w:pPr>
        <w:spacing w:before="80" w:after="80" w:line="288" w:lineRule="auto"/>
        <w:jc w:val="center"/>
      </w:pPr>
      <w:r>
        <w:rPr>
          <w:rFonts w:ascii="Arial Unicode MS" w:hAnsi="Arial Unicode MS" w:eastAsia="Arial Unicode MS" w:cs="Arial Unicode MS"/>
          <w:b/>
          <w:i w:val="0"/>
          <w:color w:val="5C6877"/>
          <w:sz w:val="19"/>
        </w:rPr>
        <w:t>图 4  投产审批列表筛选与导出入口</w:t>
      </w:r>
    </w:p>
    <w:p>
      <w:pPr>
        <w:spacing w:after="160"/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5806440" cy="326612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-approval-03-signoff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keepNext/>
        <w:spacing w:before="280" w:after="120"/>
      </w:pPr>
      <w:r>
        <w:rPr>
          <w:rFonts w:ascii="Arial Unicode MS" w:hAnsi="Arial Unicode MS" w:eastAsia="Arial Unicode MS" w:cs="Arial Unicode MS"/>
          <w:b/>
          <w:color w:val="2E74B5"/>
          <w:sz w:val="30"/>
        </w:rPr>
        <w:t>九、限制与常见提示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不同申请投产点必须分别签字，避免把一个窗口的会签结果误用于另一个窗口。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修改申请投产点前先确认目标投产点下是否已有审批记录，系统会合并较新的会签、负责人和制品信息。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导出 Word 前检查会签状态、投产负责人、投产材料和关联制品是否完整。</w:t>
      </w:r>
    </w:p>
    <w:p>
      <w:pPr>
        <w:pStyle w:val="Heading1"/>
        <w:keepNext/>
        <w:spacing w:before="280" w:after="120"/>
      </w:pPr>
      <w:r>
        <w:rPr>
          <w:rFonts w:ascii="Arial Unicode MS" w:hAnsi="Arial Unicode MS" w:eastAsia="Arial Unicode MS" w:cs="Arial Unicode MS"/>
          <w:b/>
          <w:color w:val="2E74B5"/>
          <w:sz w:val="30"/>
        </w:rPr>
        <w:t>十、日常操作检查清单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进入列表后先核对申请投产点和变更编号。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打开详情后确认阶段状态、测试覆盖和关联制品。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会签前阅读检查内容和交付制品情况。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4. 签署后返回列表检查会签进度和评审状态。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5. 投产完成或归档前导出 Word 并保存相关材料。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080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 w:cs="Arial Unicode MS"/>
        <w:color w:val="5C6877"/>
        <w:sz w:val="17"/>
      </w:rPr>
      <w:t>RADAR 日常需求研发流程管理平台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 Unicode MS" w:hAnsi="Arial Unicode MS" w:eastAsia="Arial Unicode MS" w:cs="Arial Unicode MS"/>
        <w:color w:val="5C6877"/>
        <w:sz w:val="17"/>
      </w:rPr>
      <w:t>RADAR · 投产审批操作手册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 w:eastAsia="Arial Unicode MS" w:cs="Arial Unicode M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 Unicode MS" w:hAnsi="Arial Unicode MS" w:eastAsia="Arial Unicode MS" w:cs="Arial Unicode MS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 Unicode MS" w:hAnsi="Arial Unicode MS" w:eastAsia="Arial Unicode MS" w:cs="Arial Unicode MS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 Unicode MS" w:hAnsi="Arial Unicode MS" w:eastAsia="Arial Unicode MS" w:cs="Arial Unicode MS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 Unicode MS" w:hAnsi="Arial Unicode MS" w:eastAsia="Arial Unicode MS" w:cs="Arial Unicode M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Arial Unicode MS" w:hAnsi="Arial Unicode MS" w:eastAsia="Arial Unicode MS" w:cs="Arial Unicode MS"/>
    </w:rPr>
  </w:style>
  <w:style w:type="table" w:default="1" w:styleId="TableNormal">
    <w:name w:val="Normal Table"/>
    <w:uiPriority w:val="99"/>
    <w:semiHidden/>
    <w:unhideWhenUsed/>
    <w:rPr>
      <w:rFonts w:ascii="Arial Unicode MS" w:hAnsi="Arial Unicode MS" w:eastAsia="Arial Unicode MS" w:cs="Arial Unicode MS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 Unicode MS" w:hAnsi="Arial Unicode MS" w:eastAsia="Arial Unicode MS" w:cs="Arial Unicode MS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 Unicode MS" w:hAnsi="Arial Unicode MS" w:eastAsia="Arial Unicode MS" w:cs="Arial Unicode MS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 Unicode MS" w:hAnsi="Arial Unicode MS" w:eastAsia="Arial Unicode MS" w:cs="Arial Unicode MS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 Unicode MS" w:hAnsi="Arial Unicode MS" w:eastAsia="Arial Unicode MS" w:cs="Arial Unicode MS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 Unicode MS" w:hAnsi="Arial Unicode MS" w:eastAsia="Arial Unicode MS" w:cs="Arial Unicode MS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 Unicode MS" w:hAnsi="Arial Unicode MS" w:eastAsia="Arial Unicode MS" w:cs="Arial Unicode MS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 Unicode MS" w:hAnsi="Arial Unicode MS" w:eastAsia="Arial Unicode MS" w:cs="Arial Unicode MS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 Unicode MS" w:hAnsi="Arial Unicode MS" w:eastAsia="Arial Unicode MS" w:cs="Arial Unicode MS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 Unicode MS" w:hAnsi="Arial Unicode MS" w:eastAsia="Arial Unicode MS" w:cs="Arial Unicode MS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 Unicode MS" w:hAnsi="Arial Unicode MS" w:eastAsia="Arial Unicode MS" w:cs="Arial Unicode MS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 Unicode MS" w:hAnsi="Arial Unicode MS" w:eastAsia="Arial Unicode MS" w:cs="Arial Unicode MS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 Unicode MS" w:hAnsi="Arial Unicode MS" w:eastAsia="Arial Unicode MS" w:cs="Arial Unicode M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 Unicode MS" w:hAnsi="Arial Unicode MS" w:eastAsia="Arial Unicode MS" w:cs="Arial Unicode MS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 Unicode MS" w:hAnsi="Arial Unicode MS" w:eastAsia="Arial Unicode MS" w:cs="Arial Unicode MS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 Unicode MS" w:hAnsi="Arial Unicode MS" w:eastAsia="Arial Unicode MS" w:cs="Arial Unicode M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 Unicode MS" w:hAnsi="Arial Unicode MS" w:eastAsia="Arial Unicode MS" w:cs="Arial Unicode MS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 Unicode MS" w:hAnsi="Arial Unicode MS" w:eastAsia="Arial Unicode MS" w:cs="Arial Unicode MS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 Unicode MS" w:hAnsi="Arial Unicode MS" w:eastAsia="Arial Unicode MS" w:cs="Arial Unicode MS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 Unicode MS" w:hAnsi="Arial Unicode MS" w:eastAsia="Arial Unicode MS" w:cs="Arial Unicode MS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 Unicode MS" w:hAnsi="Arial Unicode MS" w:eastAsia="Arial Unicode MS" w:cs="Arial Unicode MS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 Unicode MS" w:hAnsi="Arial Unicode MS" w:eastAsia="Arial Unicode MS" w:cs="Arial Unicode M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 Unicode MS" w:hAnsi="Arial Unicode MS" w:eastAsia="Arial Unicode MS" w:cs="Arial Unicode MS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 Unicode MS" w:hAnsi="Arial Unicode MS" w:eastAsia="Arial Unicode MS" w:cs="Arial Unicode MS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 Unicode MS" w:hAnsi="Arial Unicode MS" w:eastAsia="Arial Unicode MS" w:cs="Arial Unicode MS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 Unicode MS" w:hAnsi="Arial Unicode MS" w:eastAsia="Arial Unicode MS" w:cs="Arial Unicode MS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 Unicode MS" w:hAnsi="Arial Unicode MS" w:eastAsia="Arial Unicode MS" w:cs="Arial Unicode MS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Arial Unicode MS" w:hAnsi="Arial Unicode MS" w:eastAsia="Arial Unicode MS" w:cs="Arial Unicode MS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Arial Unicode MS" w:hAnsi="Arial Unicode MS" w:eastAsia="Arial Unicode MS" w:cs="Arial Unicode MS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 Unicode MS" w:hAnsi="Arial Unicode MS" w:eastAsia="Arial Unicode MS" w:cs="Arial Unicode MS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 Unicode MS" w:hAnsi="Arial Unicode MS" w:eastAsia="Arial Unicode MS" w:cs="Arial Unicode MS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 Unicode MS" w:hAnsi="Arial Unicode MS" w:eastAsia="Arial Unicode MS" w:cs="Arial Unicode MS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 Unicode MS" w:hAnsi="Arial Unicode MS" w:eastAsia="Arial Unicode MS" w:cs="Arial Unicode MS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 Unicode MS" w:hAnsi="Arial Unicode MS" w:eastAsia="Arial Unicode MS" w:cs="Arial Unicode MS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 Unicode MS" w:hAnsi="Arial Unicode MS" w:eastAsia="Arial Unicode MS" w:cs="Arial Unicode MS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 Unicode MS" w:hAnsi="Arial Unicode MS" w:eastAsia="Arial Unicode MS" w:cs="Arial Unicode MS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Arial Unicode MS" w:hAnsi="Arial Unicode MS" w:eastAsia="Arial Unicode MS" w:cs="Arial Unicode M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