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60" w:line="264" w:lineRule="auto"/>
        <w:jc w:val="left"/>
      </w:pPr>
      <w:r>
        <w:rPr>
          <w:rFonts w:ascii="Calibri" w:hAnsi="Calibri" w:eastAsia="Microsoft YaHei"/>
          <w:b/>
          <w:color w:val="0E9F6E"/>
          <w:sz w:val="48"/>
        </w:rPr>
        <w:t>RADAR 用户使用操作手册</w:t>
      </w:r>
    </w:p>
    <w:p>
      <w:pPr>
        <w:spacing w:before="0" w:after="280" w:line="288" w:lineRule="auto"/>
      </w:pPr>
      <w:r>
        <w:rPr>
          <w:rFonts w:ascii="Calibri" w:hAnsi="Calibri" w:eastAsia="Microsoft YaHei"/>
          <w:b w:val="0"/>
          <w:color w:val="666666"/>
          <w:sz w:val="24"/>
        </w:rPr>
        <w:t>面向业务、开发、测试、运维、评审与管理员的日常操作指南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</w:tblPr>
      <w:tblGrid>
        <w:gridCol w:w="1800"/>
        <w:gridCol w:w="7560"/>
      </w:tblGrid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1F1F"/>
                <w:sz w:val="19"/>
              </w:rPr>
              <w:t>适用系统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RADAR · 日常需求研发流程管理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1F1F"/>
                <w:sz w:val="19"/>
              </w:rPr>
              <w:t>适用版本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以当前 main 分支 README 与代码实现为准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1F1F"/>
                <w:sz w:val="19"/>
              </w:rPr>
              <w:t>发布日期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2026-07-01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1F1F"/>
                <w:sz w:val="19"/>
              </w:rPr>
              <w:t>编写人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hengguan</w:t>
            </w:r>
          </w:p>
        </w:tc>
      </w:tr>
    </w:tbl>
    <w:p>
      <w:pPr/>
      <w:r>
        <w:br w:type="page"/>
      </w:r>
    </w:p>
    <w:p>
      <w:pPr>
        <w:spacing w:before="0" w:after="240"/>
        <w:jc w:val="left"/>
      </w:pPr>
      <w:r>
        <w:rPr>
          <w:rFonts w:ascii="Microsoft YaHei" w:hAnsi="Microsoft YaHei" w:eastAsia="Microsoft YaHei"/>
          <w:b/>
          <w:color w:val="2D7AB8"/>
          <w:sz w:val="40"/>
        </w:rPr>
        <w:t>目录</w:t>
      </w:r>
    </w:p>
    <w:p>
      <w:pPr>
        <w:tabs>
          <w:tab w:pos="9144" w:val="right" w:leader="dot"/>
        </w:tabs>
        <w:spacing w:before="0" w:after="60" w:line="252" w:lineRule="auto"/>
        <w:ind w:left="0"/>
      </w:pPr>
      <w:r>
        <w:rPr>
          <w:rFonts w:ascii="Microsoft YaHei" w:hAnsi="Microsoft YaHei" w:eastAsia="Microsoft YaHei"/>
          <w:b/>
          <w:color w:val="2F2F2F"/>
          <w:sz w:val="21"/>
        </w:rPr>
        <w:t>一、手册说明</w:t>
        <w:tab/>
        <w:t>3</w:t>
      </w:r>
    </w:p>
    <w:p>
      <w:pPr>
        <w:tabs>
          <w:tab w:pos="9144" w:val="right" w:leader="dot"/>
        </w:tabs>
        <w:spacing w:before="0" w:after="60" w:line="252" w:lineRule="auto"/>
        <w:ind w:left="0"/>
      </w:pPr>
      <w:r>
        <w:rPr>
          <w:rFonts w:ascii="Microsoft YaHei" w:hAnsi="Microsoft YaHei" w:eastAsia="Microsoft YaHei"/>
          <w:b/>
          <w:color w:val="2F2F2F"/>
          <w:sz w:val="21"/>
        </w:rPr>
        <w:t>二、登录与首页</w:t>
        <w:tab/>
        <w:t>3</w:t>
      </w:r>
    </w:p>
    <w:p>
      <w:pPr>
        <w:tabs>
          <w:tab w:pos="9144" w:val="right" w:leader="dot"/>
        </w:tabs>
        <w:spacing w:before="0" w:after="60" w:line="252" w:lineRule="auto"/>
        <w:ind w:left="0"/>
      </w:pPr>
      <w:r>
        <w:rPr>
          <w:rFonts w:ascii="Microsoft YaHei" w:hAnsi="Microsoft YaHei" w:eastAsia="Microsoft YaHei"/>
          <w:b/>
          <w:color w:val="2F2F2F"/>
          <w:sz w:val="21"/>
        </w:rPr>
        <w:t>三、通用界面操作</w:t>
        <w:tab/>
        <w:t>4</w:t>
      </w:r>
    </w:p>
    <w:p>
      <w:pPr>
        <w:tabs>
          <w:tab w:pos="9144" w:val="right" w:leader="dot"/>
        </w:tabs>
        <w:spacing w:before="0" w:after="60" w:line="252" w:lineRule="auto"/>
        <w:ind w:left="0"/>
      </w:pPr>
      <w:r>
        <w:rPr>
          <w:rFonts w:ascii="Microsoft YaHei" w:hAnsi="Microsoft YaHei" w:eastAsia="Microsoft YaHei"/>
          <w:b/>
          <w:color w:val="2F2F2F"/>
          <w:sz w:val="21"/>
        </w:rPr>
        <w:t>四、效能仪表盘</w:t>
        <w:tab/>
        <w:t>4</w:t>
      </w:r>
    </w:p>
    <w:p>
      <w:pPr>
        <w:tabs>
          <w:tab w:pos="9144" w:val="right" w:leader="dot"/>
        </w:tabs>
        <w:spacing w:before="0" w:after="60" w:line="252" w:lineRule="auto"/>
        <w:ind w:left="0"/>
      </w:pPr>
      <w:r>
        <w:rPr>
          <w:rFonts w:ascii="Microsoft YaHei" w:hAnsi="Microsoft YaHei" w:eastAsia="Microsoft YaHei"/>
          <w:b/>
          <w:color w:val="2F2F2F"/>
          <w:sz w:val="21"/>
        </w:rPr>
        <w:t>五、版本概览</w:t>
        <w:tab/>
        <w:t>4</w:t>
      </w:r>
    </w:p>
    <w:p>
      <w:pPr>
        <w:tabs>
          <w:tab w:pos="9144" w:val="right" w:leader="dot"/>
        </w:tabs>
        <w:spacing w:before="0" w:after="60" w:line="252" w:lineRule="auto"/>
        <w:ind w:left="0"/>
      </w:pPr>
      <w:r>
        <w:rPr>
          <w:rFonts w:ascii="Microsoft YaHei" w:hAnsi="Microsoft YaHei" w:eastAsia="Microsoft YaHei"/>
          <w:b/>
          <w:color w:val="2F2F2F"/>
          <w:sz w:val="21"/>
        </w:rPr>
        <w:t>六、需求分析</w:t>
        <w:tab/>
        <w:t>5</w:t>
      </w:r>
    </w:p>
    <w:p>
      <w:pPr>
        <w:tabs>
          <w:tab w:pos="9144" w:val="right" w:leader="dot"/>
        </w:tabs>
        <w:spacing w:before="0" w:after="60" w:line="252" w:lineRule="auto"/>
        <w:ind w:left="403"/>
      </w:pPr>
      <w:r>
        <w:rPr>
          <w:rFonts w:ascii="Microsoft YaHei" w:hAnsi="Microsoft YaHei" w:eastAsia="Microsoft YaHei"/>
          <w:b w:val="0"/>
          <w:color w:val="2F2F2F"/>
          <w:sz w:val="20"/>
        </w:rPr>
        <w:t>6.1 新增需求</w:t>
        <w:tab/>
        <w:t>5</w:t>
      </w:r>
    </w:p>
    <w:p>
      <w:pPr>
        <w:tabs>
          <w:tab w:pos="9144" w:val="right" w:leader="dot"/>
        </w:tabs>
        <w:spacing w:before="0" w:after="60" w:line="252" w:lineRule="auto"/>
        <w:ind w:left="403"/>
      </w:pPr>
      <w:r>
        <w:rPr>
          <w:rFonts w:ascii="Microsoft YaHei" w:hAnsi="Microsoft YaHei" w:eastAsia="Microsoft YaHei"/>
          <w:b w:val="0"/>
          <w:color w:val="2F2F2F"/>
          <w:sz w:val="20"/>
        </w:rPr>
        <w:t>6.2 编辑和删除规则</w:t>
        <w:tab/>
        <w:t>5</w:t>
      </w:r>
    </w:p>
    <w:p>
      <w:pPr>
        <w:tabs>
          <w:tab w:pos="9144" w:val="right" w:leader="dot"/>
        </w:tabs>
        <w:spacing w:before="0" w:after="60" w:line="252" w:lineRule="auto"/>
        <w:ind w:left="0"/>
      </w:pPr>
      <w:r>
        <w:rPr>
          <w:rFonts w:ascii="Microsoft YaHei" w:hAnsi="Microsoft YaHei" w:eastAsia="Microsoft YaHei"/>
          <w:b/>
          <w:color w:val="2F2F2F"/>
          <w:sz w:val="21"/>
        </w:rPr>
        <w:t>七、工单分析</w:t>
        <w:tab/>
        <w:t>6</w:t>
      </w:r>
    </w:p>
    <w:p>
      <w:pPr>
        <w:tabs>
          <w:tab w:pos="9144" w:val="right" w:leader="dot"/>
        </w:tabs>
        <w:spacing w:before="0" w:after="60" w:line="252" w:lineRule="auto"/>
        <w:ind w:left="403"/>
      </w:pPr>
      <w:r>
        <w:rPr>
          <w:rFonts w:ascii="Microsoft YaHei" w:hAnsi="Microsoft YaHei" w:eastAsia="Microsoft YaHei"/>
          <w:b w:val="0"/>
          <w:color w:val="2F2F2F"/>
          <w:sz w:val="20"/>
        </w:rPr>
        <w:t>7.1 新增工单</w:t>
        <w:tab/>
        <w:t>6</w:t>
      </w:r>
    </w:p>
    <w:p>
      <w:pPr>
        <w:tabs>
          <w:tab w:pos="9144" w:val="right" w:leader="dot"/>
        </w:tabs>
        <w:spacing w:before="0" w:after="60" w:line="252" w:lineRule="auto"/>
        <w:ind w:left="403"/>
      </w:pPr>
      <w:r>
        <w:rPr>
          <w:rFonts w:ascii="Microsoft YaHei" w:hAnsi="Microsoft YaHei" w:eastAsia="Microsoft YaHei"/>
          <w:b w:val="0"/>
          <w:color w:val="2F2F2F"/>
          <w:sz w:val="20"/>
        </w:rPr>
        <w:t>7.2 工单规则</w:t>
        <w:tab/>
        <w:t>6</w:t>
      </w:r>
    </w:p>
    <w:p>
      <w:pPr>
        <w:tabs>
          <w:tab w:pos="9144" w:val="right" w:leader="dot"/>
        </w:tabs>
        <w:spacing w:before="0" w:after="60" w:line="252" w:lineRule="auto"/>
        <w:ind w:left="0"/>
      </w:pPr>
      <w:r>
        <w:rPr>
          <w:rFonts w:ascii="Microsoft YaHei" w:hAnsi="Microsoft YaHei" w:eastAsia="Microsoft YaHei"/>
          <w:b/>
          <w:color w:val="2F2F2F"/>
          <w:sz w:val="21"/>
        </w:rPr>
        <w:t>八、开发管理</w:t>
        <w:tab/>
        <w:t>6</w:t>
      </w:r>
    </w:p>
    <w:p>
      <w:pPr>
        <w:tabs>
          <w:tab w:pos="9144" w:val="right" w:leader="dot"/>
        </w:tabs>
        <w:spacing w:before="0" w:after="60" w:line="252" w:lineRule="auto"/>
        <w:ind w:left="403"/>
      </w:pPr>
      <w:r>
        <w:rPr>
          <w:rFonts w:ascii="Microsoft YaHei" w:hAnsi="Microsoft YaHei" w:eastAsia="Microsoft YaHei"/>
          <w:b w:val="0"/>
          <w:color w:val="2F2F2F"/>
          <w:sz w:val="20"/>
        </w:rPr>
        <w:t>8.1 承接开发</w:t>
        <w:tab/>
        <w:t>6</w:t>
      </w:r>
    </w:p>
    <w:p>
      <w:pPr>
        <w:tabs>
          <w:tab w:pos="9144" w:val="right" w:leader="dot"/>
        </w:tabs>
        <w:spacing w:before="0" w:after="60" w:line="252" w:lineRule="auto"/>
        <w:ind w:left="403"/>
      </w:pPr>
      <w:r>
        <w:rPr>
          <w:rFonts w:ascii="Microsoft YaHei" w:hAnsi="Microsoft YaHei" w:eastAsia="Microsoft YaHei"/>
          <w:b w:val="0"/>
          <w:color w:val="2F2F2F"/>
          <w:sz w:val="20"/>
        </w:rPr>
        <w:t>8.2 填报开发任务</w:t>
        <w:tab/>
        <w:t>7</w:t>
      </w:r>
    </w:p>
    <w:p>
      <w:pPr>
        <w:tabs>
          <w:tab w:pos="9144" w:val="right" w:leader="dot"/>
        </w:tabs>
        <w:spacing w:before="0" w:after="60" w:line="252" w:lineRule="auto"/>
        <w:ind w:left="0"/>
      </w:pPr>
      <w:r>
        <w:rPr>
          <w:rFonts w:ascii="Microsoft YaHei" w:hAnsi="Microsoft YaHei" w:eastAsia="Microsoft YaHei"/>
          <w:b/>
          <w:color w:val="2F2F2F"/>
          <w:sz w:val="21"/>
        </w:rPr>
        <w:t>九、测试管理</w:t>
        <w:tab/>
        <w:t>7</w:t>
      </w:r>
    </w:p>
    <w:p>
      <w:pPr>
        <w:tabs>
          <w:tab w:pos="9144" w:val="right" w:leader="dot"/>
        </w:tabs>
        <w:spacing w:before="0" w:after="60" w:line="252" w:lineRule="auto"/>
        <w:ind w:left="403"/>
      </w:pPr>
      <w:r>
        <w:rPr>
          <w:rFonts w:ascii="Microsoft YaHei" w:hAnsi="Microsoft YaHei" w:eastAsia="Microsoft YaHei"/>
          <w:b w:val="0"/>
          <w:color w:val="2F2F2F"/>
          <w:sz w:val="20"/>
        </w:rPr>
        <w:t>9.1 承接测试</w:t>
        <w:tab/>
        <w:t>7</w:t>
      </w:r>
    </w:p>
    <w:p>
      <w:pPr>
        <w:tabs>
          <w:tab w:pos="9144" w:val="right" w:leader="dot"/>
        </w:tabs>
        <w:spacing w:before="0" w:after="60" w:line="252" w:lineRule="auto"/>
        <w:ind w:left="403"/>
      </w:pPr>
      <w:r>
        <w:rPr>
          <w:rFonts w:ascii="Microsoft YaHei" w:hAnsi="Microsoft YaHei" w:eastAsia="Microsoft YaHei"/>
          <w:b w:val="0"/>
          <w:color w:val="2F2F2F"/>
          <w:sz w:val="20"/>
        </w:rPr>
        <w:t>9.2 填报测试任务</w:t>
        <w:tab/>
        <w:t>7</w:t>
      </w:r>
    </w:p>
    <w:p>
      <w:pPr>
        <w:tabs>
          <w:tab w:pos="9144" w:val="right" w:leader="dot"/>
        </w:tabs>
        <w:spacing w:before="0" w:after="60" w:line="252" w:lineRule="auto"/>
        <w:ind w:left="0"/>
      </w:pPr>
      <w:r>
        <w:rPr>
          <w:rFonts w:ascii="Microsoft YaHei" w:hAnsi="Microsoft YaHei" w:eastAsia="Microsoft YaHei"/>
          <w:b/>
          <w:color w:val="2F2F2F"/>
          <w:sz w:val="21"/>
        </w:rPr>
        <w:t>十、投产申请</w:t>
        <w:tab/>
        <w:t>7</w:t>
      </w:r>
    </w:p>
    <w:p>
      <w:pPr>
        <w:tabs>
          <w:tab w:pos="9144" w:val="right" w:leader="dot"/>
        </w:tabs>
        <w:spacing w:before="0" w:after="60" w:line="252" w:lineRule="auto"/>
        <w:ind w:left="0"/>
      </w:pPr>
      <w:r>
        <w:rPr>
          <w:rFonts w:ascii="Microsoft YaHei" w:hAnsi="Microsoft YaHei" w:eastAsia="Microsoft YaHei"/>
          <w:b/>
          <w:color w:val="2F2F2F"/>
          <w:sz w:val="21"/>
        </w:rPr>
        <w:t>十一、投产审批</w:t>
        <w:tab/>
        <w:t>8</w:t>
      </w:r>
    </w:p>
    <w:p>
      <w:pPr>
        <w:tabs>
          <w:tab w:pos="9144" w:val="right" w:leader="dot"/>
        </w:tabs>
        <w:spacing w:before="0" w:after="60" w:line="252" w:lineRule="auto"/>
        <w:ind w:left="403"/>
      </w:pPr>
      <w:r>
        <w:rPr>
          <w:rFonts w:ascii="Microsoft YaHei" w:hAnsi="Microsoft YaHei" w:eastAsia="Microsoft YaHei"/>
          <w:b w:val="0"/>
          <w:color w:val="2F2F2F"/>
          <w:sz w:val="20"/>
        </w:rPr>
        <w:t>11.1 打开审批详情</w:t>
        <w:tab/>
        <w:t>8</w:t>
      </w:r>
    </w:p>
    <w:p>
      <w:pPr>
        <w:tabs>
          <w:tab w:pos="9144" w:val="right" w:leader="dot"/>
        </w:tabs>
        <w:spacing w:before="0" w:after="60" w:line="252" w:lineRule="auto"/>
        <w:ind w:left="403"/>
      </w:pPr>
      <w:r>
        <w:rPr>
          <w:rFonts w:ascii="Microsoft YaHei" w:hAnsi="Microsoft YaHei" w:eastAsia="Microsoft YaHei"/>
          <w:b w:val="0"/>
          <w:color w:val="2F2F2F"/>
          <w:sz w:val="20"/>
        </w:rPr>
        <w:t>11.2 维护审批信息</w:t>
        <w:tab/>
        <w:t>8</w:t>
      </w:r>
    </w:p>
    <w:p>
      <w:pPr>
        <w:tabs>
          <w:tab w:pos="9144" w:val="right" w:leader="dot"/>
        </w:tabs>
        <w:spacing w:before="0" w:after="60" w:line="252" w:lineRule="auto"/>
        <w:ind w:left="0"/>
      </w:pPr>
      <w:r>
        <w:rPr>
          <w:rFonts w:ascii="Microsoft YaHei" w:hAnsi="Microsoft YaHei" w:eastAsia="Microsoft YaHei"/>
          <w:b/>
          <w:color w:val="2F2F2F"/>
          <w:sz w:val="21"/>
        </w:rPr>
        <w:t>十二、电子签名</w:t>
        <w:tab/>
        <w:t>9</w:t>
      </w:r>
    </w:p>
    <w:p>
      <w:pPr>
        <w:tabs>
          <w:tab w:pos="9144" w:val="right" w:leader="dot"/>
        </w:tabs>
        <w:spacing w:before="0" w:after="60" w:line="252" w:lineRule="auto"/>
        <w:ind w:left="0"/>
      </w:pPr>
      <w:r>
        <w:rPr>
          <w:rFonts w:ascii="Microsoft YaHei" w:hAnsi="Microsoft YaHei" w:eastAsia="Microsoft YaHei"/>
          <w:b/>
          <w:color w:val="2F2F2F"/>
          <w:sz w:val="21"/>
        </w:rPr>
        <w:t>十三、问题管理</w:t>
        <w:tab/>
        <w:t>9</w:t>
      </w:r>
    </w:p>
    <w:p>
      <w:pPr>
        <w:tabs>
          <w:tab w:pos="9144" w:val="right" w:leader="dot"/>
        </w:tabs>
        <w:spacing w:before="0" w:after="60" w:line="252" w:lineRule="auto"/>
        <w:ind w:left="0"/>
      </w:pPr>
      <w:r>
        <w:rPr>
          <w:rFonts w:ascii="Microsoft YaHei" w:hAnsi="Microsoft YaHei" w:eastAsia="Microsoft YaHei"/>
          <w:b/>
          <w:color w:val="2F2F2F"/>
          <w:sz w:val="21"/>
        </w:rPr>
        <w:t>十四、导入导出</w:t>
        <w:tab/>
        <w:t>9</w:t>
      </w:r>
    </w:p>
    <w:p>
      <w:pPr>
        <w:tabs>
          <w:tab w:pos="9144" w:val="right" w:leader="dot"/>
        </w:tabs>
        <w:spacing w:before="0" w:after="60" w:line="252" w:lineRule="auto"/>
        <w:ind w:left="0"/>
      </w:pPr>
      <w:r>
        <w:rPr>
          <w:rFonts w:ascii="Microsoft YaHei" w:hAnsi="Microsoft YaHei" w:eastAsia="Microsoft YaHei"/>
          <w:b/>
          <w:color w:val="2F2F2F"/>
          <w:sz w:val="21"/>
        </w:rPr>
        <w:t>十五、管理员操作</w:t>
        <w:tab/>
        <w:t>10</w:t>
      </w:r>
    </w:p>
    <w:p>
      <w:pPr>
        <w:tabs>
          <w:tab w:pos="9144" w:val="right" w:leader="dot"/>
        </w:tabs>
        <w:spacing w:before="0" w:after="60" w:line="252" w:lineRule="auto"/>
        <w:ind w:left="403"/>
      </w:pPr>
      <w:r>
        <w:rPr>
          <w:rFonts w:ascii="Microsoft YaHei" w:hAnsi="Microsoft YaHei" w:eastAsia="Microsoft YaHei"/>
          <w:b w:val="0"/>
          <w:color w:val="2F2F2F"/>
          <w:sz w:val="20"/>
        </w:rPr>
        <w:t>15.1 人员管理</w:t>
        <w:tab/>
        <w:t>10</w:t>
      </w:r>
    </w:p>
    <w:p>
      <w:pPr>
        <w:tabs>
          <w:tab w:pos="9144" w:val="right" w:leader="dot"/>
        </w:tabs>
        <w:spacing w:before="0" w:after="60" w:line="252" w:lineRule="auto"/>
        <w:ind w:left="403"/>
      </w:pPr>
      <w:r>
        <w:rPr>
          <w:rFonts w:ascii="Microsoft YaHei" w:hAnsi="Microsoft YaHei" w:eastAsia="Microsoft YaHei"/>
          <w:b w:val="0"/>
          <w:color w:val="2F2F2F"/>
          <w:sz w:val="20"/>
        </w:rPr>
        <w:t>15.2 系统设置</w:t>
        <w:tab/>
        <w:t>10</w:t>
      </w:r>
    </w:p>
    <w:p>
      <w:pPr>
        <w:tabs>
          <w:tab w:pos="9144" w:val="right" w:leader="dot"/>
        </w:tabs>
        <w:spacing w:before="0" w:after="60" w:line="252" w:lineRule="auto"/>
        <w:ind w:left="0"/>
      </w:pPr>
      <w:r>
        <w:rPr>
          <w:rFonts w:ascii="Microsoft YaHei" w:hAnsi="Microsoft YaHei" w:eastAsia="Microsoft YaHei"/>
          <w:b/>
          <w:color w:val="2F2F2F"/>
          <w:sz w:val="21"/>
        </w:rPr>
        <w:t>十六、常见问题</w:t>
        <w:tab/>
        <w:t>10</w:t>
      </w:r>
    </w:p>
    <w:p>
      <w:pPr/>
      <w:r>
        <w:br w:type="page"/>
      </w:r>
    </w:p>
    <w:p>
      <w:pPr>
        <w:pStyle w:val="Heading1"/>
      </w:pPr>
      <w:r>
        <w:t>一、手册说明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color w:val="1F1F1F"/>
          <w:sz w:val="22"/>
        </w:rPr>
        <w:t>本文档用于指导 RADAR 日常需求研发流程管理平台的最终用户完成登录、查看、填报、承接、投产申请、审批会签、导入导出和系统管理等操作。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space="0" w:color="C7D7E8"/>
          <w:left w:val="single" w:sz="4" w:space="0" w:color="C7D7E8"/>
          <w:bottom w:val="single" w:sz="4" w:space="0" w:color="C7D7E8"/>
          <w:right w:val="single" w:sz="4" w:space="0" w:color="C7D7E8"/>
          <w:insideH w:val="single" w:sz="4" w:space="0" w:color="C7D7E8"/>
          <w:insideV w:val="single" w:sz="4" w:space="0" w:color="C7D7E8"/>
        </w:tblBorders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8FB"/>
          </w:tcPr>
          <w:p>
            <w:pPr>
              <w:spacing w:before="0" w:after="0" w:line="288" w:lineRule="auto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阅读建议：</w:t>
            </w:r>
            <w:r>
              <w:rPr>
                <w:rFonts w:ascii="Calibri" w:hAnsi="Calibri" w:eastAsia="Microsoft YaHei"/>
                <w:b w:val="0"/>
                <w:color w:val="1F1F1F"/>
                <w:sz w:val="21"/>
              </w:rPr>
              <w:t>普通业务用户重点阅读第 2 至第 9 章；投产评审角色重点阅读第 10 至第 12 章；管理员重点阅读第 13 至第 15 章。</w:t>
            </w:r>
          </w:p>
        </w:tc>
      </w:tr>
    </w:tbl>
    <w:p>
      <w:pPr/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</w:tblPr>
      <w:tblGrid>
        <w:gridCol w:w="1500"/>
        <w:gridCol w:w="3300"/>
        <w:gridCol w:w="4560"/>
      </w:tblGrid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4D78"/>
                <w:sz w:val="19"/>
              </w:rPr>
              <w:t>读者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4D78"/>
                <w:sz w:val="19"/>
              </w:rPr>
              <w:t>重点章节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4D78"/>
                <w:sz w:val="19"/>
              </w:rPr>
              <w:t>典型任务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业务人员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登录、版本概览、需求分析、工单分析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登记需求/工单，查看全链路状态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开发人员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开发管理、附件、历史记录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承接开发任务，维护状态和设计/测试附件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测试人员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测试管理、附件、导入导出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承接 SIT/UAT/NFT/SEC 任务，维护测试材料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运维/实施人员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投产申请、投产审批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维护变更单、交付制品和上线状态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评审人员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电子签名、评审会签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签署或驳回投产评审项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管理员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人员管理、系统设置、权限矩阵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维护账号、角色、字典、系统和平台配置</w:t>
            </w:r>
          </w:p>
        </w:tc>
      </w:tr>
    </w:tbl>
    <w:p>
      <w:pPr>
        <w:pStyle w:val="Heading1"/>
      </w:pPr>
      <w:r>
        <w:t>二、登录与首页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1. 打开系统访问地址，进入登录页。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2. 输入登录名、密码和验证码。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3. 点击登录。若密码过期，系统会提示先修改密码。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4. 登录成功后进入当前用户默认首页；菜单会根据权限自动显示。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</w:tblPr>
      <w:tblGrid>
        <w:gridCol w:w="2300"/>
        <w:gridCol w:w="7060"/>
      </w:tblGrid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7F9FB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1F1F"/>
                <w:sz w:val="19"/>
              </w:rPr>
              <w:t>登录名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通常为用户手机号；初始超级管理员登录名由 ADMIN_PHONE 配置。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7F9FB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1F1F"/>
                <w:sz w:val="19"/>
              </w:rPr>
              <w:t>密码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由管理员创建、重置或用户自行修改。生产环境初始密码必须由部署人员显式配置。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7F9FB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1F1F"/>
                <w:sz w:val="19"/>
              </w:rPr>
              <w:t>验证码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验证码有有效期和最大尝试次数，过期或多次错误需刷新。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7F9FB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1F1F"/>
                <w:sz w:val="19"/>
              </w:rPr>
              <w:t>账号锁定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连续登录失败达到安全策略阈值后会锁定，需等待或由管理员解锁。</w:t>
            </w:r>
          </w:p>
        </w:tc>
      </w:tr>
    </w:tbl>
    <w:p>
      <w:pPr>
        <w:pStyle w:val="Heading1"/>
      </w:pPr>
      <w:r>
        <w:t>三、通用界面操作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</w:tblPr>
      <w:tblGrid>
        <w:gridCol w:w="2200"/>
        <w:gridCol w:w="7160"/>
      </w:tblGrid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4D78"/>
                <w:sz w:val="19"/>
              </w:rPr>
              <w:t>操作对象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4D78"/>
                <w:sz w:val="19"/>
              </w:rPr>
              <w:t>说明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左侧菜单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按权限显示模块入口。无查看权限的模块不会展示。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投产点选择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用于切换当前查看的投产窗口，多数业务列表默认按当前窗口过滤。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筛选区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支持按编号、内容、状态、机构、系统、负责人、投产点等条件组合过滤。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列表行点击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通常打开对应详情弹窗或详情页面。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导入/导出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有权限时可下载模板、批量导入、导出当前筛选范围的数据。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历史记录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展示字段级变更历史，包括操作人、字段、修改前后值和时间。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编号链接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部分详情页支持复制或跳转编号链接，便于协同沟通。</w:t>
            </w:r>
          </w:p>
        </w:tc>
      </w:tr>
    </w:tbl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space="0" w:color="C7D7E8"/>
          <w:left w:val="single" w:sz="4" w:space="0" w:color="C7D7E8"/>
          <w:bottom w:val="single" w:sz="4" w:space="0" w:color="C7D7E8"/>
          <w:right w:val="single" w:sz="4" w:space="0" w:color="C7D7E8"/>
          <w:insideH w:val="single" w:sz="4" w:space="0" w:color="C7D7E8"/>
          <w:insideV w:val="single" w:sz="4" w:space="0" w:color="C7D7E8"/>
        </w:tblBorders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8FB"/>
          </w:tcPr>
          <w:p>
            <w:pPr>
              <w:spacing w:before="0" w:after="0" w:line="288" w:lineRule="auto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权限提示：</w:t>
            </w:r>
            <w:r>
              <w:rPr>
                <w:rFonts w:ascii="Calibri" w:hAnsi="Calibri" w:eastAsia="Microsoft YaHei"/>
                <w:b w:val="0"/>
                <w:color w:val="1F1F1F"/>
                <w:sz w:val="21"/>
              </w:rPr>
              <w:t>如果页面看不到某个按钮，通常不是系统异常，而是当前账号没有对应操作权限。请联系管理员调整角色权限。</w:t>
            </w:r>
          </w:p>
        </w:tc>
      </w:tr>
    </w:tbl>
    <w:p>
      <w:pPr/>
    </w:p>
    <w:p>
      <w:pPr>
        <w:pStyle w:val="Heading1"/>
      </w:pPr>
      <w:r>
        <w:t>四、效能仪表盘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color w:val="1F1F1F"/>
          <w:sz w:val="22"/>
        </w:rPr>
        <w:t>效能仪表盘用于从投产窗口和多维度角度观察交付效能。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1. 原子指标卡展示需求、工单、开发、SIT、UAT、投产申请/制品等总量与终态数量。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2. 自定义图表支持柱状图、面积图、饼图和透视表。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3. 图表数据源包括需求、工单、开发、SIT、UAT、NFT、SEC、投产系统/制品以及混合数据源。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4. 点击图表元素可钻取底层记录。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5. 个人图表仅当前用户可见；系统图表对所有人可见，需要系统图表管理权限维护。</w:t>
      </w:r>
    </w:p>
    <w:p>
      <w:pPr>
        <w:pStyle w:val="Heading1"/>
      </w:pPr>
      <w:r>
        <w:t>五、版本概览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color w:val="1F1F1F"/>
          <w:sz w:val="22"/>
        </w:rPr>
        <w:t>版本概览用于在一个页面查看当前投产窗口下需求、工单和投产相关问题的全链路进展。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1. 进入「版本概览」。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2. 选择投产点或使用默认投产点。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3. 按实施机构查看卡片分组。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4. 查看卡片上的当前阶段和链路节点。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5. 点击卡片进入全生命周期详情。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6. 在详情中查看需求/工单信息、开发任务、测试任务、投产审批、附件和历史记录。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</w:tblPr>
      <w:tblGrid>
        <w:gridCol w:w="1700"/>
        <w:gridCol w:w="7660"/>
      </w:tblGrid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4D78"/>
                <w:sz w:val="19"/>
              </w:rPr>
              <w:t>节点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4D78"/>
                <w:sz w:val="19"/>
              </w:rPr>
              <w:t>含义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需求/工单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工作项自身的分析状态。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开发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关联开发任务全部终态则完成；有非终态任务则进行中；无任务则未开始。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SIT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应用组装测试任务状态。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NFT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非功能测试任务状态，仅有任务时展示。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SEC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安全测试任务状态，仅有任务时展示。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UAT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用户测试任务状态。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投产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投产任务状态，已投产时显示已上线。</w:t>
            </w:r>
          </w:p>
        </w:tc>
      </w:tr>
    </w:tbl>
    <w:p>
      <w:pPr>
        <w:pStyle w:val="Heading1"/>
      </w:pPr>
      <w:r>
        <w:t>六、需求分析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color w:val="1F1F1F"/>
          <w:sz w:val="22"/>
        </w:rPr>
        <w:t>需求分析用于登记普通研发需求，并作为后续开发、测试和投产流程的入口。</w:t>
      </w:r>
    </w:p>
    <w:p>
      <w:pPr>
        <w:pStyle w:val="Heading2"/>
      </w:pPr>
      <w:r>
        <w:t>6.1 新增需求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1. 进入「需求分析」。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2. 点击「添加需求」。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3. 选择计划投产点，系统可按编号规则生成需求编号。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4. 填写需求标题、需求概述、需求类型、是否涉账、提出部门、提出人、业务负责人等信息。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5. 选择主责系统、协同改造系统和协同测试系统。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6. 按需要上传或登记需求说明书路径。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7. 点击保存。</w:t>
      </w:r>
    </w:p>
    <w:p>
      <w:pPr>
        <w:pStyle w:val="Heading2"/>
      </w:pPr>
      <w:r>
        <w:t>6.2 编辑和删除规则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1. 需求已关联开发或测试任务后，需求编号不可修改。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2. 需求已关联开发或测试任务后，不允许删除。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3. 需求进入分析完成等终态时，至少需要填写 1 个主责系统。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4. 必填字段由系统设置中的必填项矩阵决定，页面和后端都会校验。</w:t>
      </w:r>
    </w:p>
    <w:p>
      <w:pPr>
        <w:pStyle w:val="Heading1"/>
      </w:pPr>
      <w:r>
        <w:t>七、工单分析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color w:val="1F1F1F"/>
          <w:sz w:val="22"/>
        </w:rPr>
        <w:t>工单分析用于维护来自问题或外部工单口径的工作项。工单拥有独立编号和状态，但后续开发、测试、投产流程与需求一致。</w:t>
      </w:r>
    </w:p>
    <w:p>
      <w:pPr>
        <w:pStyle w:val="Heading2"/>
      </w:pPr>
      <w:r>
        <w:t>7.1 新增工单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1. 进入「工单分析」。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2. 点击「添加工单」。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3. 输入或选择工单编号。若输入问题编号或 PAMS 工单号，系统会进行联想查询。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4. 选择联想结果后，系统可回填问题摘要、详情、分类和系统。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5. 补充工单类型、计划投产点、提出人、负责人和系统信息。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6. 点击保存。</w:t>
      </w:r>
    </w:p>
    <w:p>
      <w:pPr>
        <w:pStyle w:val="Heading2"/>
      </w:pPr>
      <w:r>
        <w:t>7.2 工单规则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1. 工单编号可手动维护，但必须唯一。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2. 已关联开发或测试任务后，工单编号不可修改，工单不可删除。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3. 工单进入分析完成等终态时，至少需要填写 1 个主责系统。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4. 工单可被开发承接、测试承接、投产申请引用，并进入投产审批。</w:t>
      </w:r>
    </w:p>
    <w:p>
      <w:pPr>
        <w:pStyle w:val="Heading1"/>
      </w:pPr>
      <w:r>
        <w:t>八、开发管理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color w:val="1F1F1F"/>
          <w:sz w:val="22"/>
        </w:rPr>
        <w:t>开发管理用于把需求或工单按系统拆分为开发任务，并维护开发阶段状态、时间和附件。</w:t>
      </w:r>
    </w:p>
    <w:p>
      <w:pPr>
        <w:pStyle w:val="Heading2"/>
      </w:pPr>
      <w:r>
        <w:t>8.1 承接开发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1. 进入「开发管理」。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2. 点击承接开发入口。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3. 选择关联需求或工单编号。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4. 查看承接预览。系统会按主责系统和协同改造系统列出待建任务。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5. 确认需要承接的系统。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6. 提交后系统为尚未建任务的系统生成开发任务。</w:t>
      </w:r>
    </w:p>
    <w:p>
      <w:pPr>
        <w:pStyle w:val="Heading2"/>
      </w:pPr>
      <w:r>
        <w:t>8.2 填报开发任务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1. 维护开发状态、负责人、实施系统、实施方、计划开始、计划结束、实际开始、实际结束。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2. 保存时系统自动计算排期偏差率。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3. 开发完成时，计划和实际起止时间必须完整。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4. 可上传或登记概要设计、详细设计、代码走查、单元测试报告、影响性分析文档。</w:t>
      </w:r>
    </w:p>
    <w:p>
      <w:pPr>
        <w:pStyle w:val="Heading1"/>
      </w:pPr>
      <w:r>
        <w:t>九、测试管理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color w:val="1F1F1F"/>
          <w:sz w:val="22"/>
        </w:rPr>
        <w:t>测试管理包含 SIT、UAT、NFT、SEC 四类测试，四类测试共用操作方式。</w:t>
      </w:r>
    </w:p>
    <w:p>
      <w:pPr>
        <w:pStyle w:val="Heading2"/>
      </w:pPr>
      <w:r>
        <w:t>9.1 承接测试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1. 进入对应测试页面，例如「应用组装测试」或「用户测试」。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2. 点击承接测试入口。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3. 选择需求或工单编号和测试类型。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4. 选择整体测试或按系统拆分。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5. 确认预览后提交，系统生成测试任务。</w:t>
      </w:r>
    </w:p>
    <w:p>
      <w:pPr>
        <w:pStyle w:val="Heading2"/>
      </w:pPr>
      <w:r>
        <w:t>9.2 填报测试任务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1. 维护测试状态、测试负责人、测试实施系统、测试实施方、实施机构和计划/实际时间。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2. 测试完成时，计划和实际起止时间必须完整。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3. 可上传或登记测试方案、测试报告；SIT 还支持测试覆盖设计文档。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4. NFT 和 SEC 为按需阶段，不承接则不会出现在版本概览链路中。</w:t>
      </w:r>
    </w:p>
    <w:p>
      <w:pPr>
        <w:pStyle w:val="Heading1"/>
      </w:pPr>
      <w:r>
        <w:t>十、投产申请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color w:val="1F1F1F"/>
          <w:sz w:val="22"/>
        </w:rPr>
        <w:t>投产申请用于维护版本变更申请单，记录变更编号、变更系统、影响范围、交付制品和关联工作项。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1. 进入「投产管理 &gt; 投产申请」。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2. 点击新增投产申请。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3. 选择计划投产点和变更系统。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4. 填写变更内容、影响范围、实施机构和负责部门。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5. 选择关联需求、工单或问题编号。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6. 维护交付制品：制品类型、交付单元名称、新版本号、摆渡状态。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7. 保存投产申请。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space="0" w:color="C7D7E8"/>
          <w:left w:val="single" w:sz="4" w:space="0" w:color="C7D7E8"/>
          <w:bottom w:val="single" w:sz="4" w:space="0" w:color="C7D7E8"/>
          <w:right w:val="single" w:sz="4" w:space="0" w:color="C7D7E8"/>
          <w:insideH w:val="single" w:sz="4" w:space="0" w:color="C7D7E8"/>
          <w:insideV w:val="single" w:sz="4" w:space="0" w:color="C7D7E8"/>
        </w:tblBorders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8FB"/>
          </w:tcPr>
          <w:p>
            <w:pPr>
              <w:spacing w:before="0" w:after="0" w:line="288" w:lineRule="auto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重要关系：</w:t>
            </w:r>
            <w:r>
              <w:rPr>
                <w:rFonts w:ascii="Calibri" w:hAnsi="Calibri" w:eastAsia="Microsoft YaHei"/>
                <w:b w:val="0"/>
                <w:color w:val="1F1F1F"/>
                <w:sz w:val="21"/>
              </w:rPr>
              <w:t>投产审批列表不是直接读取所有需求或工单，而是从投产申请的关联编号中逐条展开。未被投产申请引用的需求、工单或问题不会出现在投产审批列表中。</w:t>
            </w:r>
          </w:p>
        </w:tc>
      </w:tr>
    </w:tbl>
    <w:p>
      <w:pPr/>
    </w:p>
    <w:p>
      <w:pPr>
        <w:pStyle w:val="Heading1"/>
      </w:pPr>
      <w:r>
        <w:t>十一、投产审批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color w:val="1F1F1F"/>
          <w:sz w:val="22"/>
        </w:rPr>
        <w:t>投产审批按投产申请中关联的需求、工单或问题逐条展开，用于维护投产状态、评审状态、会签和评审单。</w:t>
      </w:r>
    </w:p>
    <w:p>
      <w:pPr>
        <w:pStyle w:val="Heading2"/>
      </w:pPr>
      <w:r>
        <w:t>11.1 打开审批详情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1. 进入「投产管理 &gt; 投产审批」。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2. 通过编号、变更编号、状态、评审状态、实施机构或投产点筛选。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3. 点击审批对象打开详情。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4. 首次打开详情时，系统自动创建投产任务和 6 个会签项。</w:t>
      </w:r>
    </w:p>
    <w:p>
      <w:pPr>
        <w:pStyle w:val="Heading2"/>
      </w:pPr>
      <w:r>
        <w:t>11.2 维护审批信息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1. 有编辑权限的用户可维护投产负责人、投产状态和评审状态。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2. 会签角色可在自己的会签项上填写结论并签署或驳回。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3. 任一会签项驳回时，评审状态自动变为评审拒绝。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4. 全部会签项已签署时，评审状态自动变为评审同意。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5. 评审撤销和应急审批是手动状态，不会被自动重算覆盖。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6. 可导出单条 Word 评审单。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</w:tblPr>
      <w:tblGrid>
        <w:gridCol w:w="2200"/>
        <w:gridCol w:w="7160"/>
      </w:tblGrid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4D78"/>
                <w:sz w:val="19"/>
              </w:rPr>
              <w:t>会签角色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4D78"/>
                <w:sz w:val="19"/>
              </w:rPr>
              <w:t>说明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安全负责人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关注安全合规、漏洞和安全测试结论。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架构负责人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关注架构影响、系统依赖和技术方案。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机构负责人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关注实施机构资源、上线窗口和责任归属。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项目负责人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关注整体项目交付和投产风险。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测试负责人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关注测试完成情况和质量准入。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配置负责人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关注配置、制品、摆渡和发布材料。</w:t>
            </w:r>
          </w:p>
        </w:tc>
      </w:tr>
    </w:tbl>
    <w:p>
      <w:pPr>
        <w:pStyle w:val="Heading1"/>
      </w:pPr>
      <w:r>
        <w:t>十二、电子签名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1. 进入个人相关签名维护入口。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2. 使用签名板书写电子签名。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3. 保存签名，可设为默认签名。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4. 在投产会签时选择签名并提交。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5. 签名会展示在审批详情和 Word 评审单中。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space="0" w:color="C7D7E8"/>
          <w:left w:val="single" w:sz="4" w:space="0" w:color="C7D7E8"/>
          <w:bottom w:val="single" w:sz="4" w:space="0" w:color="C7D7E8"/>
          <w:right w:val="single" w:sz="4" w:space="0" w:color="C7D7E8"/>
          <w:insideH w:val="single" w:sz="4" w:space="0" w:color="C7D7E8"/>
          <w:insideV w:val="single" w:sz="4" w:space="0" w:color="C7D7E8"/>
        </w:tblBorders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8FB"/>
          </w:tcPr>
          <w:p>
            <w:pPr>
              <w:spacing w:before="0" w:after="0" w:line="288" w:lineRule="auto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签名权限：</w:t>
            </w:r>
            <w:r>
              <w:rPr>
                <w:rFonts w:ascii="Calibri" w:hAnsi="Calibri" w:eastAsia="Microsoft YaHei"/>
                <w:b w:val="0"/>
                <w:color w:val="1F1F1F"/>
                <w:sz w:val="21"/>
              </w:rPr>
              <w:t>会签时只能使用归属于当前用户的签名。超级管理员可进行权限放行，但签名归属仍会校验。</w:t>
            </w:r>
          </w:p>
        </w:tc>
      </w:tr>
    </w:tbl>
    <w:p>
      <w:pPr/>
    </w:p>
    <w:p>
      <w:pPr>
        <w:pStyle w:val="Heading1"/>
      </w:pPr>
      <w:r>
        <w:t>十三、问题管理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color w:val="1F1F1F"/>
          <w:sz w:val="22"/>
        </w:rPr>
        <w:t>问题管理用于同步外部 PAMS 问题。本平台不直接编辑问题，只同步和展示。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1. 进入「投产管理 &gt; 问题管理」。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2. 点击同步问题，拉取外部问题概述。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3. 点击同步问题详情，逐条拉取详细信息。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4. 如数据量较大，可启动后台同步，并通过页面轮询查看进度。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5. 需要清空本地问题数据时，确认后台同步未运行，再执行清空。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6. 问题可以被工单编号联想引用。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7. 问题可以被投产申请直接引用。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8. 问题进入投产审批后，审批流程与需求/工单类似，但没有开发和测试承接阶段。</w:t>
      </w:r>
    </w:p>
    <w:p>
      <w:pPr>
        <w:pStyle w:val="Heading1"/>
      </w:pPr>
      <w:r>
        <w:t>十四、导入导出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</w:tblPr>
      <w:tblGrid>
        <w:gridCol w:w="1900"/>
        <w:gridCol w:w="7460"/>
      </w:tblGrid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4D78"/>
                <w:sz w:val="19"/>
              </w:rPr>
              <w:t>模块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4D78"/>
                <w:sz w:val="19"/>
              </w:rPr>
              <w:t>导入导出要点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需求分析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支持模板下载、批量导入、当前筛选范围导出。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工单分析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支持工单编号、问题编号、系统和投产点兼容解析。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开发管理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导入时校验关联需求/工单编号是否存在。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测试管理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导入时测试类型必须为应用组装测试、用户测试、非功能测试或安全测试。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投产申请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导入时关联编号可用顿号、逗号或空白分隔。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人员管理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支持批量维护账号和角色信息。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字典配置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支持基础字典批量维护，修改前应确认影响范围。</w:t>
            </w:r>
          </w:p>
        </w:tc>
      </w:tr>
    </w:tbl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1. 导入模式通常包括跳过、覆盖和回滚。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2. 覆盖会记录字段级变更历史。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3. 回滚模式下任意关键错误会撤销本次导入。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4. 导出文件会尽量将系统编号、JSON 数组、附件等转换为可读文本。</w:t>
      </w:r>
    </w:p>
    <w:p>
      <w:pPr>
        <w:pStyle w:val="Heading1"/>
      </w:pPr>
      <w:r>
        <w:t>十五、管理员操作</w:t>
      </w:r>
    </w:p>
    <w:p>
      <w:pPr>
        <w:pStyle w:val="Heading2"/>
      </w:pPr>
      <w:r>
        <w:t>15.1 人员管理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1. 创建用户时填写登录名、姓名、机构、初始密码和角色。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2. 用户可拥有多个角色，权限按角色并集计算。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3. 账号被锁定时，可在人员管理中解锁。</w:t>
      </w:r>
    </w:p>
    <w:p>
      <w:pPr>
        <w:spacing w:before="0"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4. 忘记密码时，可由管理员重置。</w:t>
      </w:r>
    </w:p>
    <w:p>
      <w:pPr>
        <w:pStyle w:val="Heading2"/>
      </w:pPr>
      <w:r>
        <w:t>15.2 系统设置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</w:tblPr>
      <w:tblGrid>
        <w:gridCol w:w="2100"/>
        <w:gridCol w:w="7260"/>
      </w:tblGrid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4D78"/>
                <w:sz w:val="19"/>
              </w:rPr>
              <w:t>设置项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4D78"/>
                <w:sz w:val="19"/>
              </w:rPr>
              <w:t>维护内容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平台配置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平台名称、简称、版权、主题色、编号规则、安全策略。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字典配置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流程状态、需求类型、工单类型、评审状态、制品类型、机构等。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所属系统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系统编号、名称、机构、板块、外联部门、投产部门。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投产点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投产日期/窗口、版本类型、默认标识、归档状态。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角色权限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角色、默认首页、默认主题、权限矩阵。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必填项矩阵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按模块和状态类型配置字段必填规则与附件输入模式。</w:t>
            </w:r>
          </w:p>
        </w:tc>
      </w:tr>
    </w:tbl>
    <w:p>
      <w:pPr>
        <w:pStyle w:val="Heading1"/>
      </w:pPr>
      <w:r>
        <w:t>十六、常见问题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</w:tblPr>
      <w:tblGrid>
        <w:gridCol w:w="2300"/>
        <w:gridCol w:w="7060"/>
      </w:tblGrid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7F9FB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1F1F"/>
                <w:sz w:val="19"/>
              </w:rPr>
              <w:t>看不到菜单或按钮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当前账号没有对应权限，请联系管理员调整角色权限。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7F9FB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1F1F"/>
                <w:sz w:val="19"/>
              </w:rPr>
              <w:t>无法删除需求/工单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该需求/工单已关联开发或测试任务，系统禁止删除。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7F9FB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1F1F"/>
                <w:sz w:val="19"/>
              </w:rPr>
              <w:t>保存提示终态字段缺失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当前状态属于终态，需补齐必填字段或附件。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7F9FB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1F1F"/>
                <w:sz w:val="19"/>
              </w:rPr>
              <w:t>投产审批列表没有某工作项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该编号尚未被投产申请引用。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7F9FB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1F1F"/>
                <w:sz w:val="19"/>
              </w:rPr>
              <w:t>会签按钮不可用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当前账号不具备对应会签角色，或无评审会签权限。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7F9FB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1F1F1F"/>
                <w:sz w:val="19"/>
              </w:rPr>
              <w:t>问题同步失败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color w:val="1F1F1F"/>
                <w:sz w:val="19"/>
              </w:rPr>
              <w:t>检查 PAMS 地址、API Key、网络和超时时间配置。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footerReference w:type="first" r:id="rId11"/>
      <w:footerReference w:type="even" r:id="rId12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rPr>
        <w:rFonts w:ascii="Calibri" w:hAnsi="Calibri" w:eastAsia="Microsoft YaHei"/>
        <w:b w:val="0"/>
        <w:color w:val="666666"/>
        <w:sz w:val="18"/>
      </w:rPr>
      <w:t>RADAR · 日常需求研发流程管理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  <w:num w:numId="17">
    <w:abstractNumId w:val="7"/>
    <w:lvlOverride w:ilvl="0">
      <w:startOverride w:val="1"/>
    </w:lvlOverride>
  </w:num>
  <w:num w:numId="18">
    <w:abstractNumId w:val="7"/>
    <w:lvlOverride w:ilvl="0">
      <w:startOverride w:val="1"/>
    </w:lvlOverride>
  </w:num>
  <w:num w:numId="19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color w:val="1F1F1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