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 w:line="264" w:lineRule="auto"/>
        <w:jc w:val="left"/>
      </w:pPr>
      <w:r>
        <w:rPr>
          <w:rFonts w:ascii="Calibri" w:hAnsi="Calibri" w:eastAsia="Microsoft YaHei"/>
          <w:b/>
          <w:color w:val="0E9F6E"/>
          <w:sz w:val="48"/>
        </w:rPr>
        <w:t>RADAR 上线部署手册</w:t>
      </w:r>
    </w:p>
    <w:p>
      <w:pPr>
        <w:spacing w:before="0" w:after="280" w:line="288" w:lineRule="auto"/>
      </w:pPr>
      <w:r>
        <w:rPr>
          <w:rFonts w:ascii="Calibri" w:hAnsi="Calibri" w:eastAsia="Microsoft YaHei"/>
          <w:b w:val="0"/>
          <w:color w:val="666666"/>
          <w:sz w:val="24"/>
        </w:rPr>
        <w:t>面向实施、运维和系统管理员的安装、配置、迁移、发布和回退指南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适用系统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RADAR · 日常需求研发流程管理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适用版本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以当前 main 分支 README 与代码实现为准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发布日期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2026-07-01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编写人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hengguan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Microsoft YaHei" w:hAnsi="Microsoft YaHei" w:eastAsia="Microsoft YaHei"/>
          <w:b/>
          <w:color w:val="2D7AB8"/>
          <w:sz w:val="40"/>
        </w:rPr>
        <w:t>目录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一、手册说明</w:t>
        <w:tab/>
        <w:t>3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二、部署架构</w:t>
        <w:tab/>
        <w:t>3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三、上线前检查清单</w:t>
        <w:tab/>
        <w:t>3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四、环境变量准备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五、Docker Compose 部署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5.1 首次部署</w:t>
        <w:tab/>
        <w:t>4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5.2 Docker 目录持久化</w:t>
        <w:tab/>
        <w:t>5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六、非 Docker 部署</w:t>
        <w:tab/>
        <w:t>5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七、SQLite 部署方案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八、TDSQL 部署方案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九、数据迁移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9.1 SQLite 迁移到 TDSQL</w:t>
        <w:tab/>
        <w:t>6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9.2 TDSQL 回迁 SQLite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9.3 TDSQL 到 TDSQL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十、备份与恢复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10.1 SQLite 备份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403"/>
      </w:pPr>
      <w:r>
        <w:rPr>
          <w:rFonts w:ascii="Microsoft YaHei" w:hAnsi="Microsoft YaHei" w:eastAsia="Microsoft YaHei"/>
          <w:b w:val="0"/>
          <w:color w:val="2F2F2F"/>
          <w:sz w:val="20"/>
        </w:rPr>
        <w:t>10.2 TDSQL 原生备份</w:t>
        <w:tab/>
        <w:t>7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十一、升级发布流程</w:t>
        <w:tab/>
        <w:t>8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十二、上线验证清单</w:t>
        <w:tab/>
        <w:t>8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十三、回退方案</w:t>
        <w:tab/>
        <w:t>9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十四、运维监控建议</w:t>
        <w:tab/>
        <w:t>9</w:t>
      </w:r>
    </w:p>
    <w:p>
      <w:pPr>
        <w:tabs>
          <w:tab w:pos="9144" w:val="right" w:leader="dot"/>
        </w:tabs>
        <w:spacing w:before="0" w:after="60" w:line="252" w:lineRule="auto"/>
        <w:ind w:left="0"/>
      </w:pPr>
      <w:r>
        <w:rPr>
          <w:rFonts w:ascii="Microsoft YaHei" w:hAnsi="Microsoft YaHei" w:eastAsia="Microsoft YaHei"/>
          <w:b/>
          <w:color w:val="2F2F2F"/>
          <w:sz w:val="21"/>
        </w:rPr>
        <w:t>十五、常见故障处理</w:t>
        <w:tab/>
        <w:t>9</w:t>
      </w:r>
    </w:p>
    <w:p>
      <w:r>
        <w:br w:type="page"/>
      </w:r>
    </w:p>
    <w:p>
      <w:pPr>
        <w:pStyle w:val="Heading1"/>
      </w:pPr>
      <w:r>
        <w:t>一、手册说明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本文档用于指导 RADAR 在服务器环境完成上线部署、配置、数据库初始化、数据迁移、备份恢复和发布验证。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部署边界：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RADAR 支持 SQLite 单机部署和 TDSQL MySQL 兼容版部署。Docker Compose 单服务部署是推荐路径；非 Docker 部署适用于已有 Node.js 运行环境的服务器。</w:t>
            </w:r>
          </w:p>
        </w:tc>
      </w:tr>
    </w:tbl>
    <w:p/>
    <w:p>
      <w:pPr>
        <w:pStyle w:val="Heading1"/>
      </w:pPr>
      <w:r>
        <w:t>二、部署架构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访问层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浏览器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用户通过 PC、平板或手机访问 Web 页面。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前端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React + Vite 静态资源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生产构建后由 Fastify 同域托管。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后端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Fastify API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统一提供 /api 接口、鉴权、权限、附件和静态资源。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数据库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SQLite 或 TDSQL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SQLite 适合单机部署，TDSQL 适合集中数据库和生产高可用场景。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文件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attachments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保存上传附件和电子签名图片。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外部系统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PAMS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可选；用于同步问题概述和详情。</w:t>
            </w:r>
          </w:p>
        </w:tc>
      </w:tr>
    </w:tbl>
    <w:p>
      <w:pPr>
        <w:pStyle w:val="Heading1"/>
      </w:pPr>
      <w:r>
        <w:t>三、上线前检查清单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服务器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确认 CPU 架构、磁盘空间、系统时间、网络和防火墙策略。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端口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确认 RADAR_HTTP_PORT 对外可访问，默认 3510。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密钥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生产环境必须设置随机 JWT_SECRET。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管理员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生产环境必须设置 ADMIN_PASSWORD。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数据目录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准备数据库挂载目录和附件挂载目录，并确认可写。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数据库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确认选择 SQLite 或 TDSQL，并准备相应配置。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PAMS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如需问题同步，准备 PAMS_BASE_URL 和 PAMS_API_KEY。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备份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升级前备份数据库和附件目录。</w:t>
            </w:r>
          </w:p>
        </w:tc>
      </w:tr>
    </w:tbl>
    <w:p>
      <w:pPr>
        <w:pStyle w:val="Heading1"/>
      </w:pPr>
      <w:r>
        <w:t>四、环境变量准备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在仓库根目录复制 .env.example 为 .env。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修改 JWT_SECRET、ADMIN_PASSWORD、RADAR_HTTP_PORT。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根据数据库方案配置 DB_CLIENT 和数据库连接信息。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根据需要配置附件目录、PAMS、CORS、CSP、上传限制和 Vite 参数。</w:t>
      </w:r>
    </w:p>
    <w:p>
      <w:pPr>
        <w:pStyle w:val="ListNumber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保存 .env 后再执行构建或启动。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00"/>
        <w:gridCol w:w="3100"/>
        <w:gridCol w:w="46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配置类别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关键变量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生产建议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基础运行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NODE_ENV、HOST、PORT、RADAR_HTTP_PORT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NODE_ENV 使用 production；端口按防火墙开放策略设置。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安全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JWT_SECRET、CSRF_HEADER_VALUE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JWT_SECRET 使用随机长字符串，不要使用示例值。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管理员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ADMIN_PHONE、ADMIN_NAME、ADMIN_PASSWORD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ADMIN_PASSWORD 必须显式配置并妥善保管。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SQLite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DB_CLIENT、DB_FILE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DB_CLIENT=sqlite；DB_FILE 挂载到持久化目录。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TDSQL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TDSQL_HOST、TDSQL_DATABASE、TDSQL_USER、TDSQL_PASSWORD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账号建议只授权目标库，字符集使用 utf8mb4。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附件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ATTACHMENT_DIR、MAX_FILE_SIZE、UPLOAD_ALLOWED_EXTENSIONS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附件目录必须持久化并定期备份。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PAMS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PAMS_BASE_URL、PAMS_API_KEY、PAMS_TIMEOUT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不用问题同步可留空。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前端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VITE_API_BASE_URL、VITE_CSRF_HEADER_VALUE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同域部署通常保持 /api。</w:t>
            </w:r>
          </w:p>
        </w:tc>
      </w:tr>
    </w:tbl>
    <w:p>
      <w:pPr>
        <w:pStyle w:val="Heading1"/>
      </w:pPr>
      <w:r>
        <w:t>五、Docker Compose 部署</w:t>
      </w:r>
    </w:p>
    <w:p>
      <w:pPr>
        <w:pStyle w:val="Heading2"/>
      </w:pPr>
      <w:r>
        <w:t>5.1 首次部署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将代码放置到服务器目标目录。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复制并修改 .env。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确认 RADAR_DATA_DIR 和 RADAR_ATTACHMENTS_DIR 指向宿主机持久化目录。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执行 docker compose up -d --build。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访问 http://服务器IP:RADAR_HTTP_PORT。</w:t>
      </w:r>
    </w:p>
    <w:p>
      <w:pPr>
        <w:pStyle w:val="ListNumber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使用初始超级管理员登录，并立即按安全要求修改密码。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构建镜像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up -d --build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查看容器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ps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查看日志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logs -f radar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停止服务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down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重启服务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restart radar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国内镜像源：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如服务器无法访问 Docker Hub，可通过 NODE_IMAGE 和 NPM_CONFIG_REGISTRY 使用可访问的基础镜像和 npm 镜像源。</w:t>
            </w:r>
          </w:p>
        </w:tc>
      </w:tr>
    </w:tbl>
    <w:p/>
    <w:p>
      <w:pPr>
        <w:pStyle w:val="Heading2"/>
      </w:pPr>
      <w:r>
        <w:t>5.2 Docker 目录持久化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宿主机变量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容器路径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RADAR_DATA_DIR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/app/data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SQLite 数据库文件目录。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RADAR_ATTACHMENTS_DIR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/app/attachments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附件和电子签名文件目录。</w:t>
            </w:r>
          </w:p>
        </w:tc>
      </w:tr>
    </w:tbl>
    <w:p>
      <w:pPr>
        <w:pStyle w:val="Heading1"/>
      </w:pPr>
      <w:r>
        <w:t>六、非 Docker 部署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在服务器安装 Node.js 22.5 或以上版本。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 web 目录执行 npm ci 和 npm run build。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进入 server 目录执行 npm ci --omit=dev。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在仓库根目录准备 .env。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执行 NODE_ENV=production npm start 或使用进程管理器启动 server/src/server.js。</w:t>
      </w:r>
    </w:p>
    <w:p>
      <w:pPr>
        <w:pStyle w:val="ListNumber"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配置反向代理或防火墙，使用户可访问后端监听端口。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前端构建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web &amp;&amp; npm ci &amp;&amp; npm run build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后端依赖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ci --omit=dev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生产启动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NODE_ENV=production npm start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健康检查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curl http://127.0.0.1:3000/api/health</w:t>
            </w:r>
          </w:p>
        </w:tc>
      </w:tr>
    </w:tbl>
    <w:p>
      <w:pPr>
        <w:pStyle w:val="Heading1"/>
      </w:pPr>
      <w:r>
        <w:t>七、SQLite 部署方案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SQLite 是默认数据库方案，适合单机部署、试点和轻量使用场景。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配置 DB_CLIENT=sqlite。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配置 DB_FILE 指向持久化目录，例如 ./data/radar.db。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首次启动时系统自动创建数据库并执行迁移。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升级前必须备份 DB_FILE 和附件目录。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如使用 Docker，请确保 /app/data 已挂载到宿主机。</w:t>
      </w:r>
    </w:p>
    <w:p>
      <w:pPr>
        <w:pStyle w:val="Heading1"/>
      </w:pPr>
      <w:r>
        <w:t>八、TDSQL 部署方案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TDSQL MySQL 兼容版适合集中数据库、生产级运维和跨实例迁移场景。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在 TDSQL 中创建空库，建议字符集 utf8mb4。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创建应用账号，并授予目标库必要权限。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配置 DB_CLIENT=tdsql。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填写 TDSQL_HOST、TDSQL_PORT、TDSQL_DATABASE、TDSQL_USER、TDSQL_PASSWORD。</w:t>
      </w:r>
    </w:p>
    <w:p>
      <w:pPr>
        <w:pStyle w:val="ListNumber"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首次启动后端，系统会执行 TDSQL 初始化脚本并写入种子数据。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兼容说明：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业务代码通过统一数据库入口访问 SQLite 或 TDSQL。TDSQL provider 会处理连接池、事务连接复用、保留字引用、时间函数和 JSON 查询差异。</w:t>
            </w:r>
          </w:p>
        </w:tc>
      </w:tr>
    </w:tbl>
    <w:p/>
    <w:p>
      <w:pPr>
        <w:pStyle w:val="Heading1"/>
      </w:pPr>
      <w:r>
        <w:t>九、数据迁移</w:t>
      </w:r>
    </w:p>
    <w:p>
      <w:pPr>
        <w:pStyle w:val="Heading2"/>
      </w:pPr>
      <w:r>
        <w:t>9.1 SQLite 迁移到 TDSQL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常规迁移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run migrate:tdsql -- --sqlite ../data/radar.db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清空目标后迁移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npm run migrate:tdsql -- --sqlite ../data/radar.db --truncate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演练模式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npm run migrate:tdsql -- --sqlite ../data/radar.db --dry-run</w:t>
            </w:r>
          </w:p>
        </w:tc>
      </w:tr>
    </w:tbl>
    <w:p>
      <w:pPr>
        <w:pStyle w:val="Heading2"/>
      </w:pPr>
      <w:r>
        <w:t>9.2 TDSQL 回迁 SQLite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常规回迁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run migrate:sqlite -- --sqlite ../data/radar-from-tdsql.db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清空目标后回迁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npm run migrate:sqlite -- --sqlite ../data/radar-from-tdsql.db --truncate</w:t>
            </w:r>
          </w:p>
        </w:tc>
      </w:tr>
    </w:tbl>
    <w:p>
      <w:pPr>
        <w:pStyle w:val="Heading2"/>
      </w:pPr>
      <w:r>
        <w:t>9.3 TDSQL 到 TDSQL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1F1F"/>
          <w:sz w:val="22"/>
        </w:rPr>
        <w:t>跨 TDSQL 迁移使用 source/target 参数区分源库和目标库。目标库与源库相同时，脚本会拒绝执行高风险 truncate 操作。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迁移命令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npm run migrate:tdsql-to-tdsql -- --source-host 源地址 --source-database 源库 --source-user 用户 --source-password 密码 --target-host 目标地址 --target-database 目标库 --target-user 用户 --target-password 密码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清空目标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在上述命令后追加 --truncate。</w:t>
            </w:r>
          </w:p>
        </w:tc>
      </w:tr>
    </w:tbl>
    <w:p>
      <w:pPr>
        <w:pStyle w:val="Heading1"/>
      </w:pPr>
      <w:r>
        <w:t>十、备份与恢复</w:t>
      </w:r>
    </w:p>
    <w:p>
      <w:pPr>
        <w:pStyle w:val="Heading2"/>
      </w:pPr>
      <w:r>
        <w:t>10.1 SQLite 备份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停止服务或确认没有写入操作。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复制 DB_FILE 对应的数据库文件。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同时备份 -wal 和 -shm 文件，或先让数据库完成检查点。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备份 attachments 目录。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记录备份时间、版本号和操作人。</w:t>
      </w:r>
    </w:p>
    <w:p>
      <w:pPr>
        <w:pStyle w:val="Heading2"/>
      </w:pPr>
      <w:r>
        <w:t>10.2 TDSQL 原生备份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导出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run dump:tdsql -- --output ../radar-tdsql-dump.sql.gz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恢复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run restore:tdsql -- --input ../radar-tdsql-dump.sql.gz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删库重建恢复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npm run restore:tdsql -- --input ../radar-tdsql-dump.sql.gz --drop-database --force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密码保护：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TDSQL 原生备份脚本通过 MYSQL_PWD 环境变量向子进程传递密码，避免密码出现在命令参数列表中。</w:t>
            </w:r>
          </w:p>
        </w:tc>
      </w:tr>
    </w:tbl>
    <w:p/>
    <w:p>
      <w:pPr>
        <w:pStyle w:val="Heading1"/>
      </w:pPr>
      <w:r>
        <w:t>十一、升级发布流程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通知业务用户维护窗口。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备份数据库和附件目录。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拉取或上传新版本代码。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确认 .env 与新版本环境变量兼容。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执行后端测试和前端构建。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重新构建并启动服务。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观察启动日志，确认迁移和种子执行成功。</w:t>
      </w:r>
    </w:p>
    <w:p>
      <w:pPr>
        <w:pStyle w:val="ListNumber"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完成上线后执行验证清单。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推荐命令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升级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docker compose up -d --build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非 Docker 前端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web &amp;&amp; npm ci &amp;&amp; npm run build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非 Docker 后端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ci --omit=dev &amp;&amp; NODE_ENV=production npm start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后端测试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server &amp;&amp; npm test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前端构建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cd web &amp;&amp; npm run build</w:t>
            </w:r>
          </w:p>
        </w:tc>
      </w:tr>
    </w:tbl>
    <w:p>
      <w:pPr>
        <w:pStyle w:val="Heading1"/>
      </w:pPr>
      <w:r>
        <w:t>十二、上线验证清单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验证项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通过标准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健康检查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/api/health 返回 status=ok。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静态资源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访问根路径能加载登录页，无资源 404。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登录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超级管理员或测试账号可登录。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权限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不同角色菜单和按钮符合预期。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能加载投产点并切换窗口。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需求/工单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列表、详情、新增或编辑正常。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开发/测试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承接预览和列表查询正常。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投产申请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能新增或查看变更单和交付制品。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投产审批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能展开审批对象、打开详情和查看会签项。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附件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上传、路径登记、下载和删除正常。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问题同步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如已配置 PAMS，概述和详情同步正常。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导出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Excel 和 Word 导出正常。</w:t>
            </w:r>
          </w:p>
        </w:tc>
      </w:tr>
    </w:tbl>
    <w:p>
      <w:pPr>
        <w:pStyle w:val="Heading1"/>
      </w:pPr>
      <w:r>
        <w:t>十三、回退方案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停止当前服务。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恢复上一版本代码或镜像。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恢复上线前数据库备份。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恢复上线前附件目录备份。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启动上一版本服务。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执行健康检查、登录检查和关键业务页面检查。</w:t>
      </w:r>
    </w:p>
    <w:p>
      <w:pPr>
        <w:pStyle w:val="ListNumber"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记录回退原因、时间、操作人和恢复结果。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7E8"/>
          <w:left w:val="single" w:sz="4" w:space="0" w:color="C7D7E8"/>
          <w:bottom w:val="single" w:sz="4" w:space="0" w:color="C7D7E8"/>
          <w:right w:val="single" w:sz="4" w:space="0" w:color="C7D7E8"/>
          <w:insideH w:val="single" w:sz="4" w:space="0" w:color="C7D7E8"/>
          <w:insideV w:val="single" w:sz="4" w:space="0" w:color="C7D7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数据库回退：</w:t>
            </w:r>
            <w:r>
              <w:rPr>
                <w:rFonts w:ascii="Calibri" w:hAnsi="Calibri" w:eastAsia="Microsoft YaHei"/>
                <w:b w:val="0"/>
                <w:color w:val="1F1F1F"/>
                <w:sz w:val="21"/>
              </w:rPr>
              <w:t>如果新版本已经执行了数据库迁移，单纯回退代码可能不充分。应以数据库备份恢复为准，避免旧代码读取新结构时出现不兼容。</w:t>
            </w:r>
          </w:p>
        </w:tc>
      </w:tr>
    </w:tbl>
    <w:p/>
    <w:p>
      <w:pPr>
        <w:pStyle w:val="Heading1"/>
      </w:pPr>
      <w:r>
        <w:t>十四、运维监控建议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定期检查容器或进程存活状态。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定期检查磁盘空间，尤其是 data 和 attachments 目录。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定期备份数据库与附件。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关注服务日志中的迁移失败、登录失败、PAMS 同步失败和上传异常。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定期检查管理员账号和角色权限。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1F1F"/>
          <w:sz w:val="21"/>
        </w:rPr>
        <w:t>生产环境不要使用示例密钥和示例密码。</w:t>
      </w:r>
    </w:p>
    <w:p>
      <w:pPr>
        <w:pStyle w:val="Heading1"/>
      </w:pPr>
      <w:r>
        <w:t>十五、常见故障处理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服务启动失败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查看日志，重点检查 .env、数据库连接、端口占用和权限。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生产登录失败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确认 ADMIN_PASSWORD、账号状态、验证码、密码过期和锁定状态。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静态页面打不开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确认 web/dist 已构建，WEB_DIST 指向正确，生产模式后端已托管静态资源。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TDSQL 连接失败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检查地址、端口、账号、密码、库名、SSL、网络和防火墙。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附件上传失败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检查文件大小、扩展名白名单、附件目录权限和磁盘空间。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PAMS 同步失败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检查 PAMS_BASE_URL、PAMS_API_KEY、网络、超时时间和外部接口返回。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F1F1F"/>
                <w:sz w:val="19"/>
              </w:rPr>
              <w:t>导出失败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1F1F"/>
                <w:sz w:val="19"/>
              </w:rPr>
              <w:t>检查数据量、服务日志、Word/Excel 生成依赖和文件权限。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666666"/>
        <w:sz w:val="18"/>
      </w:rPr>
      <w:t>RADAR · 日常需求研发流程管理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