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88" w:lineRule="auto"/>
      </w:pPr>
      <w:r>
        <w:rPr>
          <w:rFonts w:ascii="Arial Unicode MS" w:hAnsi="Arial Unicode MS" w:eastAsia="Arial Unicode MS" w:cs="Arial Unicode MS"/>
          <w:b/>
          <w:i w:val="0"/>
          <w:color w:val="2E74B5"/>
          <w:sz w:val="32"/>
        </w:rPr>
        <w:t>RADAR</w:t>
      </w:r>
    </w:p>
    <w:p>
      <w:pPr>
        <w:spacing w:before="0" w:after="80" w:line="288" w:lineRule="auto"/>
      </w:pPr>
      <w:r>
        <w:rPr>
          <w:rFonts w:ascii="Arial Unicode MS" w:hAnsi="Arial Unicode MS" w:eastAsia="Arial Unicode MS" w:cs="Arial Unicode MS"/>
          <w:b/>
          <w:i w:val="0"/>
          <w:color w:val="222B36"/>
          <w:sz w:val="44"/>
        </w:rPr>
        <w:t>开发管理操作手册</w:t>
      </w:r>
    </w:p>
    <w:p>
      <w:pPr>
        <w:spacing w:before="0" w:after="360" w:line="288" w:lineRule="auto"/>
      </w:pPr>
      <w:r>
        <w:rPr>
          <w:rFonts w:ascii="Arial Unicode MS" w:hAnsi="Arial Unicode MS" w:eastAsia="Arial Unicode MS" w:cs="Arial Unicode MS"/>
          <w:b w:val="0"/>
          <w:i w:val="0"/>
          <w:color w:val="5C6877"/>
          <w:sz w:val="22"/>
        </w:rPr>
        <w:t>面向开发管理人员，说明开发任务承接、拆分、跟踪、附件模板下载与导入导出</w:t>
      </w:r>
    </w:p>
    <w:p>
      <w:pPr>
        <w:spacing w:before="0" w:after="280" w:line="288" w:lineRule="auto"/>
      </w:pPr>
      <w:r>
        <w:rPr>
          <w:rFonts w:ascii="Arial Unicode MS" w:hAnsi="Arial Unicode MS" w:eastAsia="Arial Unicode MS" w:cs="Arial Unicode MS"/>
          <w:b w:val="0"/>
          <w:i w:val="0"/>
          <w:color w:val="5C6877"/>
          <w:sz w:val="19"/>
        </w:rPr>
        <w:t>适用版本：本地 main 分支最新页面；资料依据近期代码变更与本地演示数据截图编制。</w:t>
      </w:r>
    </w:p>
    <w:p>
      <w:pPr>
        <w:pStyle w:val="Heading1"/>
        <w:keepNext/>
        <w:spacing w:before="280" w:after="120"/>
      </w:pPr>
      <w:r>
        <w:rPr>
          <w:rFonts w:ascii="Arial Unicode MS" w:hAnsi="Arial Unicode MS" w:eastAsia="Arial Unicode MS" w:cs="Arial Unicode MS"/>
          <w:b/>
          <w:color w:val="2E74B5"/>
          <w:sz w:val="30"/>
        </w:rPr>
        <w:t>目录</w:t>
      </w:r>
    </w:p>
    <w:p>
      <w:pPr>
        <w:spacing w:before="0" w:after="40" w:line="288" w:lineRule="auto"/>
      </w:pPr>
      <w:r>
        <w:rPr>
          <w:rFonts w:ascii="Arial Unicode MS" w:hAnsi="Arial Unicode MS" w:eastAsia="Arial Unicode MS" w:cs="Arial Unicode MS"/>
          <w:b w:val="0"/>
          <w:i w:val="0"/>
          <w:color w:val="222B36"/>
          <w:sz w:val="20"/>
        </w:rPr>
        <w:t>一、手册说明</w:t>
      </w:r>
    </w:p>
    <w:p>
      <w:pPr>
        <w:spacing w:before="0" w:after="40" w:line="288" w:lineRule="auto"/>
      </w:pPr>
      <w:r>
        <w:rPr>
          <w:rFonts w:ascii="Arial Unicode MS" w:hAnsi="Arial Unicode MS" w:eastAsia="Arial Unicode MS" w:cs="Arial Unicode MS"/>
          <w:b w:val="0"/>
          <w:i w:val="0"/>
          <w:color w:val="222B36"/>
          <w:sz w:val="20"/>
        </w:rPr>
        <w:t>二、角色权限与使用边界</w:t>
      </w:r>
    </w:p>
    <w:p>
      <w:pPr>
        <w:spacing w:before="0" w:after="40" w:line="288" w:lineRule="auto"/>
      </w:pPr>
      <w:r>
        <w:rPr>
          <w:rFonts w:ascii="Arial Unicode MS" w:hAnsi="Arial Unicode MS" w:eastAsia="Arial Unicode MS" w:cs="Arial Unicode MS"/>
          <w:b w:val="0"/>
          <w:i w:val="0"/>
          <w:color w:val="222B36"/>
          <w:sz w:val="20"/>
        </w:rPr>
        <w:t>三、登录与进入开发管理</w:t>
      </w:r>
    </w:p>
    <w:p>
      <w:pPr>
        <w:spacing w:before="0" w:after="40" w:line="288" w:lineRule="auto"/>
      </w:pPr>
      <w:r>
        <w:rPr>
          <w:rFonts w:ascii="Arial Unicode MS" w:hAnsi="Arial Unicode MS" w:eastAsia="Arial Unicode MS" w:cs="Arial Unicode MS"/>
          <w:b w:val="0"/>
          <w:i w:val="0"/>
          <w:color w:val="222B36"/>
          <w:sz w:val="20"/>
        </w:rPr>
        <w:t>四、页面布局与查询筛选</w:t>
      </w:r>
    </w:p>
    <w:p>
      <w:pPr>
        <w:spacing w:before="0" w:after="40" w:line="288" w:lineRule="auto"/>
      </w:pPr>
      <w:r>
        <w:rPr>
          <w:rFonts w:ascii="Arial Unicode MS" w:hAnsi="Arial Unicode MS" w:eastAsia="Arial Unicode MS" w:cs="Arial Unicode MS"/>
          <w:b w:val="0"/>
          <w:i w:val="0"/>
          <w:color w:val="222B36"/>
          <w:sz w:val="20"/>
        </w:rPr>
        <w:t>五、开发承接</w:t>
      </w:r>
    </w:p>
    <w:p>
      <w:pPr>
        <w:spacing w:before="0" w:after="40" w:line="288" w:lineRule="auto"/>
      </w:pPr>
      <w:r>
        <w:rPr>
          <w:rFonts w:ascii="Arial Unicode MS" w:hAnsi="Arial Unicode MS" w:eastAsia="Arial Unicode MS" w:cs="Arial Unicode MS"/>
          <w:b w:val="0"/>
          <w:i w:val="0"/>
          <w:color w:val="222B36"/>
          <w:sz w:val="20"/>
        </w:rPr>
        <w:t>六、开发任务维护</w:t>
      </w:r>
    </w:p>
    <w:p>
      <w:pPr>
        <w:spacing w:before="0" w:after="40" w:line="288" w:lineRule="auto"/>
      </w:pPr>
      <w:r>
        <w:rPr>
          <w:rFonts w:ascii="Arial Unicode MS" w:hAnsi="Arial Unicode MS" w:eastAsia="Arial Unicode MS" w:cs="Arial Unicode MS"/>
          <w:b w:val="0"/>
          <w:i w:val="0"/>
          <w:color w:val="222B36"/>
          <w:sz w:val="20"/>
        </w:rPr>
        <w:t>七、影响性分析与阶段附件</w:t>
      </w:r>
    </w:p>
    <w:p>
      <w:pPr>
        <w:spacing w:before="0" w:after="40" w:line="288" w:lineRule="auto"/>
      </w:pPr>
      <w:r>
        <w:rPr>
          <w:rFonts w:ascii="Arial Unicode MS" w:hAnsi="Arial Unicode MS" w:eastAsia="Arial Unicode MS" w:cs="Arial Unicode MS"/>
          <w:b w:val="0"/>
          <w:i w:val="0"/>
          <w:color w:val="222B36"/>
          <w:sz w:val="20"/>
        </w:rPr>
        <w:t>八、导入、导出与模板下载</w:t>
      </w:r>
    </w:p>
    <w:p>
      <w:pPr>
        <w:spacing w:before="0" w:after="40" w:line="288" w:lineRule="auto"/>
      </w:pPr>
      <w:r>
        <w:rPr>
          <w:rFonts w:ascii="Arial Unicode MS" w:hAnsi="Arial Unicode MS" w:eastAsia="Arial Unicode MS" w:cs="Arial Unicode MS"/>
          <w:b w:val="0"/>
          <w:i w:val="0"/>
          <w:color w:val="222B36"/>
          <w:sz w:val="20"/>
        </w:rPr>
        <w:t>九、删除、限制与常见提示</w:t>
      </w:r>
    </w:p>
    <w:p>
      <w:pPr>
        <w:spacing w:before="0" w:after="40" w:line="288" w:lineRule="auto"/>
      </w:pPr>
      <w:r>
        <w:rPr>
          <w:rFonts w:ascii="Arial Unicode MS" w:hAnsi="Arial Unicode MS" w:eastAsia="Arial Unicode MS" w:cs="Arial Unicode MS"/>
          <w:b w:val="0"/>
          <w:i w:val="0"/>
          <w:color w:val="222B36"/>
          <w:sz w:val="20"/>
        </w:rPr>
        <w:t>十、日常操作检查清单</w:t>
      </w:r>
    </w:p>
    <w:p>
      <w:pPr>
        <w:pStyle w:val="Heading1"/>
        <w:keepNext/>
        <w:spacing w:before="280" w:after="120"/>
      </w:pPr>
      <w:r>
        <w:rPr>
          <w:rFonts w:ascii="Arial Unicode MS" w:hAnsi="Arial Unicode MS" w:eastAsia="Arial Unicode MS" w:cs="Arial Unicode MS"/>
          <w:b/>
          <w:color w:val="2E74B5"/>
          <w:sz w:val="30"/>
        </w:rPr>
        <w:t>一、手册说明</w:t>
      </w:r>
    </w:p>
    <w:p>
      <w:pPr>
        <w:spacing w:before="0" w:after="120" w:line="288" w:lineRule="auto"/>
      </w:pPr>
      <w:r>
        <w:rPr>
          <w:rFonts w:ascii="Arial Unicode MS" w:hAnsi="Arial Unicode MS" w:eastAsia="Arial Unicode MS" w:cs="Arial Unicode MS"/>
          <w:b w:val="0"/>
          <w:i w:val="0"/>
          <w:color w:val="222B36"/>
          <w:sz w:val="21"/>
        </w:rPr>
        <w:t>本文档用于指导开发人员在 RADAR 系统中完成开发任务管理，包括按需求或工单承接开发、按系统拆分任务、维护开发状态、负责人、排期、影响性分析、阶段附件以及批量导入导出。</w:t>
      </w:r>
    </w:p>
    <w:p>
      <w:pPr>
        <w:pStyle w:val="Heading1"/>
        <w:keepNext/>
        <w:spacing w:before="280" w:after="120"/>
      </w:pPr>
      <w:r>
        <w:rPr>
          <w:rFonts w:ascii="Arial Unicode MS" w:hAnsi="Arial Unicode MS" w:eastAsia="Arial Unicode MS" w:cs="Arial Unicode MS"/>
          <w:b/>
          <w:color w:val="2E74B5"/>
          <w:sz w:val="30"/>
        </w:rPr>
        <w:t>二、角色权限与使用边界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304"/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9"/>
              </w:rPr>
              <w:t>角色/人员</w:t>
            </w:r>
          </w:p>
        </w:tc>
        <w:tc>
          <w:tcPr>
            <w:tcW w:type="dxa" w:w="4032"/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9"/>
              </w:rPr>
              <w:t>可执行操作</w:t>
            </w:r>
          </w:p>
        </w:tc>
        <w:tc>
          <w:tcPr>
            <w:tcW w:type="dxa" w:w="2736"/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9"/>
              </w:rPr>
              <w:t>注意事项</w:t>
            </w:r>
          </w:p>
        </w:tc>
      </w:tr>
      <w:tr>
        <w:tc>
          <w:tcPr>
            <w:tcW w:type="dxa" w:w="230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color w:val="222B36"/>
                <w:sz w:val="18"/>
              </w:rPr>
              <w:t>开发负责人/开发管理人员</w:t>
            </w:r>
          </w:p>
        </w:tc>
        <w:tc>
          <w:tcPr>
            <w:tcW w:type="dxa" w:w="4032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color w:val="222B36"/>
                <w:sz w:val="18"/>
              </w:rPr>
              <w:t>查看、筛选、维护开发管理相关数据</w:t>
            </w:r>
          </w:p>
        </w:tc>
        <w:tc>
          <w:tcPr>
            <w:tcW w:type="dxa" w:w="2736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color w:val="222B36"/>
                <w:sz w:val="18"/>
              </w:rPr>
              <w:t>以系统分配的菜单权限、字段权限和状态必填规则为准。</w:t>
            </w:r>
          </w:p>
        </w:tc>
      </w:tr>
      <w:tr>
        <w:tc>
          <w:tcPr>
            <w:tcW w:type="dxa" w:w="230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color w:val="222B36"/>
                <w:sz w:val="18"/>
              </w:rPr>
              <w:t>管理员/超级管理员</w:t>
            </w:r>
          </w:p>
        </w:tc>
        <w:tc>
          <w:tcPr>
            <w:tcW w:type="dxa" w:w="4032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color w:val="222B36"/>
                <w:sz w:val="18"/>
              </w:rPr>
              <w:t>配置基础资料、处理异常数据、维护权限和导入导出</w:t>
            </w:r>
          </w:p>
        </w:tc>
        <w:tc>
          <w:tcPr>
            <w:tcW w:type="dxa" w:w="2736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color w:val="222B36"/>
                <w:sz w:val="18"/>
              </w:rPr>
              <w:t>仅在业务确认后执行删除、覆盖导入、密码重置等管理动作。</w:t>
            </w:r>
          </w:p>
        </w:tc>
      </w:tr>
    </w:tbl>
    <w:p>
      <w:pPr>
        <w:spacing w:before="0" w:after="40" w:line="288" w:lineRule="auto"/>
      </w:pPr>
    </w:p>
    <w:p>
      <w:pPr>
        <w:pStyle w:val="Heading1"/>
        <w:keepNext/>
        <w:spacing w:before="280" w:after="120"/>
      </w:pPr>
      <w:r>
        <w:rPr>
          <w:rFonts w:ascii="Arial Unicode MS" w:hAnsi="Arial Unicode MS" w:eastAsia="Arial Unicode MS" w:cs="Arial Unicode MS"/>
          <w:b/>
          <w:color w:val="2E74B5"/>
          <w:sz w:val="30"/>
        </w:rPr>
        <w:t>三、登录与进入开发管理</w:t>
      </w:r>
    </w:p>
    <w:p>
      <w:pPr>
        <w:pStyle w:val="ListNumber"/>
        <w:spacing w:after="80"/>
        <w:ind w:left="360" w:hanging="72"/>
      </w:pPr>
      <w:r>
        <w:rPr>
          <w:rFonts w:ascii="Arial Unicode MS" w:hAnsi="Arial Unicode MS" w:eastAsia="Arial Unicode MS" w:cs="Arial Unicode MS"/>
          <w:color w:val="222B36"/>
          <w:sz w:val="21"/>
        </w:rPr>
        <w:t>打开系统访问地址，进入登录页。</w:t>
      </w:r>
    </w:p>
    <w:p>
      <w:pPr>
        <w:pStyle w:val="ListNumber"/>
        <w:spacing w:after="80"/>
        <w:ind w:left="360" w:hanging="72"/>
      </w:pPr>
      <w:r>
        <w:rPr>
          <w:rFonts w:ascii="Arial Unicode MS" w:hAnsi="Arial Unicode MS" w:eastAsia="Arial Unicode MS" w:cs="Arial Unicode MS"/>
          <w:color w:val="222B36"/>
          <w:sz w:val="21"/>
        </w:rPr>
        <w:t>输入管理员分配的登录名或手机号、密码，点击登录。</w:t>
      </w:r>
    </w:p>
    <w:p>
      <w:pPr>
        <w:pStyle w:val="ListNumber"/>
        <w:spacing w:after="80"/>
        <w:ind w:left="360" w:hanging="72"/>
      </w:pPr>
      <w:r>
        <w:rPr>
          <w:rFonts w:ascii="Arial Unicode MS" w:hAnsi="Arial Unicode MS" w:eastAsia="Arial Unicode MS" w:cs="Arial Unicode MS"/>
          <w:color w:val="222B36"/>
          <w:sz w:val="21"/>
        </w:rPr>
        <w:t>登录后确认左下角用户信息显示为本人，并确认当前角色具备对应菜单权限。</w:t>
      </w:r>
    </w:p>
    <w:p>
      <w:pPr>
        <w:pStyle w:val="ListNumber"/>
        <w:spacing w:after="80"/>
        <w:ind w:left="360" w:hanging="72"/>
      </w:pPr>
      <w:r>
        <w:rPr>
          <w:rFonts w:ascii="Arial Unicode MS" w:hAnsi="Arial Unicode MS" w:eastAsia="Arial Unicode MS" w:cs="Arial Unicode MS"/>
          <w:color w:val="222B36"/>
          <w:sz w:val="21"/>
        </w:rPr>
        <w:t>在左侧菜单点击“开发管理”，进入列表页面。</w:t>
      </w:r>
    </w:p>
    <w:p>
      <w:pPr>
        <w:pStyle w:val="ListNumber"/>
        <w:spacing w:after="80"/>
        <w:ind w:left="360" w:hanging="72"/>
      </w:pPr>
      <w:r>
        <w:rPr>
          <w:rFonts w:ascii="Arial Unicode MS" w:hAnsi="Arial Unicode MS" w:eastAsia="Arial Unicode MS" w:cs="Arial Unicode MS"/>
          <w:color w:val="222B36"/>
          <w:sz w:val="21"/>
        </w:rPr>
        <w:t>确认顶部投产点选择范围正确；若需要跨投产点查询，可切换为“所有投产点”。</w:t>
      </w:r>
    </w:p>
    <w:p>
      <w:pPr>
        <w:pStyle w:val="Heading1"/>
        <w:keepNext/>
        <w:spacing w:before="280" w:after="120"/>
      </w:pPr>
      <w:r>
        <w:rPr>
          <w:rFonts w:ascii="Arial Unicode MS" w:hAnsi="Arial Unicode MS" w:eastAsia="Arial Unicode MS" w:cs="Arial Unicode MS"/>
          <w:b/>
          <w:color w:val="2E74B5"/>
          <w:sz w:val="30"/>
        </w:rPr>
        <w:t>四、页面布局与查询筛选</w:t>
      </w:r>
    </w:p>
    <w:p>
      <w:pPr>
        <w:spacing w:before="0" w:after="120" w:line="288" w:lineRule="auto"/>
      </w:pPr>
      <w:r>
        <w:rPr>
          <w:rFonts w:ascii="Arial Unicode MS" w:hAnsi="Arial Unicode MS" w:eastAsia="Arial Unicode MS" w:cs="Arial Unicode MS"/>
          <w:b w:val="0"/>
          <w:i w:val="0"/>
          <w:color w:val="222B36"/>
          <w:sz w:val="21"/>
        </w:rPr>
        <w:t>开发管理页面展示开发任务状态、计划投产点、任务编号、任务名称、关联需求/工单、负责人、实施系统和偏差率。筛选区支持按实施机构、任务编号、开发内容、计划投产点、开发状态、负责人和实施系统检索。</w:t>
      </w:r>
    </w:p>
    <w:p>
      <w:pPr>
        <w:spacing w:before="80" w:after="80" w:line="288" w:lineRule="auto"/>
        <w:jc w:val="center"/>
      </w:pPr>
      <w:r>
        <w:rPr>
          <w:rFonts w:ascii="Arial Unicode MS" w:hAnsi="Arial Unicode MS" w:eastAsia="Arial Unicode MS" w:cs="Arial Unicode MS"/>
          <w:b/>
          <w:i w:val="0"/>
          <w:color w:val="5C6877"/>
          <w:sz w:val="19"/>
        </w:rPr>
        <w:t>图 1  开发管理列表页</w:t>
      </w:r>
    </w:p>
    <w:p>
      <w:pPr>
        <w:spacing w:after="160"/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5806440" cy="32684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-01-li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8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before="280" w:after="120"/>
      </w:pPr>
      <w:r>
        <w:rPr>
          <w:rFonts w:ascii="Arial Unicode MS" w:hAnsi="Arial Unicode MS" w:eastAsia="Arial Unicode MS" w:cs="Arial Unicode MS"/>
          <w:b/>
          <w:color w:val="2E74B5"/>
          <w:sz w:val="30"/>
        </w:rPr>
        <w:t>五、开发承接</w:t>
      </w:r>
    </w:p>
    <w:p>
      <w:pPr>
        <w:spacing w:before="0" w:after="120" w:line="288" w:lineRule="auto"/>
      </w:pPr>
      <w:r>
        <w:rPr>
          <w:rFonts w:ascii="Arial Unicode MS" w:hAnsi="Arial Unicode MS" w:eastAsia="Arial Unicode MS" w:cs="Arial Unicode MS"/>
          <w:b w:val="0"/>
          <w:i w:val="0"/>
          <w:color w:val="222B36"/>
          <w:sz w:val="21"/>
        </w:rPr>
        <w:t>开发承接用于从当前投产点范围内的需求/工单生成开发任务。系统会读取需求/工单的主责系统和协同改造系统，预览待拆分的开发任务。</w:t>
      </w:r>
    </w:p>
    <w:p>
      <w:pPr>
        <w:spacing w:before="80" w:after="80" w:line="288" w:lineRule="auto"/>
        <w:jc w:val="center"/>
      </w:pPr>
      <w:r>
        <w:rPr>
          <w:rFonts w:ascii="Arial Unicode MS" w:hAnsi="Arial Unicode MS" w:eastAsia="Arial Unicode MS" w:cs="Arial Unicode MS"/>
          <w:b/>
          <w:i w:val="0"/>
          <w:color w:val="5C6877"/>
          <w:sz w:val="19"/>
        </w:rPr>
        <w:t>图 2  开发承接选择需求/工单</w:t>
      </w:r>
    </w:p>
    <w:p>
      <w:pPr>
        <w:spacing w:after="160"/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5806440" cy="32661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-02-intake-emp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  <w:spacing w:after="80"/>
        <w:ind w:left="360" w:hanging="72"/>
      </w:pPr>
      <w:r>
        <w:rPr>
          <w:rFonts w:ascii="Arial Unicode MS" w:hAnsi="Arial Unicode MS" w:eastAsia="Arial Unicode MS" w:cs="Arial Unicode MS"/>
          <w:color w:val="222B36"/>
          <w:sz w:val="21"/>
        </w:rPr>
        <w:t>点击“开发承接”。</w:t>
      </w:r>
    </w:p>
    <w:p>
      <w:pPr>
        <w:pStyle w:val="ListNumber"/>
        <w:spacing w:after="80"/>
        <w:ind w:left="360" w:hanging="72"/>
      </w:pPr>
      <w:r>
        <w:rPr>
          <w:rFonts w:ascii="Arial Unicode MS" w:hAnsi="Arial Unicode MS" w:eastAsia="Arial Unicode MS" w:cs="Arial Unicode MS"/>
          <w:color w:val="222B36"/>
          <w:sz w:val="21"/>
        </w:rPr>
        <w:t>在“选择需求/工单”区域按投产点、编号、标题或主责系统检索。</w:t>
      </w:r>
    </w:p>
    <w:p>
      <w:pPr>
        <w:pStyle w:val="ListNumber"/>
        <w:spacing w:after="80"/>
        <w:ind w:left="360" w:hanging="72"/>
      </w:pPr>
      <w:r>
        <w:rPr>
          <w:rFonts w:ascii="Arial Unicode MS" w:hAnsi="Arial Unicode MS" w:eastAsia="Arial Unicode MS" w:cs="Arial Unicode MS"/>
          <w:color w:val="222B36"/>
          <w:sz w:val="21"/>
        </w:rPr>
        <w:t>选择一条需求或工单后，系统加载各系统对应的开发任务预览。</w:t>
      </w:r>
    </w:p>
    <w:p>
      <w:pPr>
        <w:pStyle w:val="ListNumber"/>
        <w:spacing w:after="80"/>
        <w:ind w:left="360" w:hanging="72"/>
      </w:pPr>
      <w:r>
        <w:rPr>
          <w:rFonts w:ascii="Arial Unicode MS" w:hAnsi="Arial Unicode MS" w:eastAsia="Arial Unicode MS" w:cs="Arial Unicode MS"/>
          <w:color w:val="222B36"/>
          <w:sz w:val="21"/>
        </w:rPr>
        <w:t>勾选需要新建的系统任务；已存在任务的系统会提示已存在并默认不可重复创建。</w:t>
      </w:r>
    </w:p>
    <w:p>
      <w:pPr>
        <w:pStyle w:val="ListNumber"/>
        <w:spacing w:after="80"/>
        <w:ind w:left="360" w:hanging="72"/>
      </w:pPr>
      <w:r>
        <w:rPr>
          <w:rFonts w:ascii="Arial Unicode MS" w:hAnsi="Arial Unicode MS" w:eastAsia="Arial Unicode MS" w:cs="Arial Unicode MS"/>
          <w:color w:val="222B36"/>
          <w:sz w:val="21"/>
        </w:rPr>
        <w:t>点击“承接”，系统按系统角色生成开发任务并刷新列表。</w:t>
      </w:r>
    </w:p>
    <w:p>
      <w:pPr>
        <w:spacing w:before="80" w:after="80" w:line="288" w:lineRule="auto"/>
        <w:jc w:val="center"/>
      </w:pPr>
      <w:r>
        <w:rPr>
          <w:rFonts w:ascii="Arial Unicode MS" w:hAnsi="Arial Unicode MS" w:eastAsia="Arial Unicode MS" w:cs="Arial Unicode MS"/>
          <w:b/>
          <w:i w:val="0"/>
          <w:color w:val="5C6877"/>
          <w:sz w:val="19"/>
        </w:rPr>
        <w:t>图 3  开发任务拆分预览</w:t>
      </w:r>
    </w:p>
    <w:p>
      <w:pPr>
        <w:spacing w:after="160"/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5806440" cy="32661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-03-intake-previ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before="280" w:after="120"/>
      </w:pPr>
      <w:r>
        <w:rPr>
          <w:rFonts w:ascii="Arial Unicode MS" w:hAnsi="Arial Unicode MS" w:eastAsia="Arial Unicode MS" w:cs="Arial Unicode MS"/>
          <w:b/>
          <w:color w:val="2E74B5"/>
          <w:sz w:val="30"/>
        </w:rPr>
        <w:t>六、开发任务维护</w:t>
      </w:r>
    </w:p>
    <w:p>
      <w:pPr>
        <w:spacing w:before="0" w:after="120" w:line="288" w:lineRule="auto"/>
      </w:pPr>
      <w:r>
        <w:rPr>
          <w:rFonts w:ascii="Arial Unicode MS" w:hAnsi="Arial Unicode MS" w:eastAsia="Arial Unicode MS" w:cs="Arial Unicode MS"/>
          <w:b w:val="0"/>
          <w:i w:val="0"/>
          <w:color w:val="222B36"/>
          <w:sz w:val="21"/>
        </w:rPr>
        <w:t>点击开发任务行进入详情。详情页可维护任务状态、任务名称、开发内容概述、开发负责人、实施系统、开发实施方、计划/实际起止时间和阶段附件。</w:t>
      </w:r>
    </w:p>
    <w:p>
      <w:pPr>
        <w:spacing w:before="80" w:after="80" w:line="288" w:lineRule="auto"/>
        <w:jc w:val="center"/>
      </w:pPr>
      <w:r>
        <w:rPr>
          <w:rFonts w:ascii="Arial Unicode MS" w:hAnsi="Arial Unicode MS" w:eastAsia="Arial Unicode MS" w:cs="Arial Unicode MS"/>
          <w:b/>
          <w:i w:val="0"/>
          <w:color w:val="5C6877"/>
          <w:sz w:val="19"/>
        </w:rPr>
        <w:t>图 4  开发任务详情</w:t>
      </w:r>
    </w:p>
    <w:p>
      <w:pPr>
        <w:spacing w:after="160"/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5806440" cy="32661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-03-intake-previ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232"/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9"/>
              </w:rPr>
              <w:t>字段/区域</w:t>
            </w:r>
          </w:p>
        </w:tc>
        <w:tc>
          <w:tcPr>
            <w:tcW w:type="dxa" w:w="4176"/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9"/>
              </w:rPr>
              <w:t>填写要求</w:t>
            </w:r>
          </w:p>
        </w:tc>
        <w:tc>
          <w:tcPr>
            <w:tcW w:type="dxa" w:w="2664"/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232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color w:val="222B36"/>
                <w:sz w:val="18"/>
              </w:rPr>
              <w:t>开发状态</w:t>
            </w:r>
          </w:p>
        </w:tc>
        <w:tc>
          <w:tcPr>
            <w:tcW w:type="dxa" w:w="4176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color w:val="222B36"/>
                <w:sz w:val="18"/>
              </w:rPr>
              <w:t>按实际进度从承接、设计、实施、单测到完成推进。</w:t>
            </w:r>
          </w:p>
        </w:tc>
        <w:tc>
          <w:tcPr>
            <w:tcW w:type="dxa" w:w="266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color w:val="222B36"/>
                <w:sz w:val="18"/>
              </w:rPr>
              <w:t>终态通常要求补齐关键排期和附件。</w:t>
            </w:r>
          </w:p>
        </w:tc>
      </w:tr>
      <w:tr>
        <w:tc>
          <w:tcPr>
            <w:tcW w:type="dxa" w:w="2232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color w:val="222B36"/>
                <w:sz w:val="18"/>
              </w:rPr>
              <w:t>实施系统</w:t>
            </w:r>
          </w:p>
        </w:tc>
        <w:tc>
          <w:tcPr>
            <w:tcW w:type="dxa" w:w="4176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color w:val="222B36"/>
                <w:sz w:val="18"/>
              </w:rPr>
              <w:t>与承接时生成的系统保持一致。</w:t>
            </w:r>
          </w:p>
        </w:tc>
        <w:tc>
          <w:tcPr>
            <w:tcW w:type="dxa" w:w="266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color w:val="222B36"/>
                <w:sz w:val="18"/>
              </w:rPr>
              <w:t>决定任务归属和后续测试关联。</w:t>
            </w:r>
          </w:p>
        </w:tc>
      </w:tr>
      <w:tr>
        <w:tc>
          <w:tcPr>
            <w:tcW w:type="dxa" w:w="2232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color w:val="222B36"/>
                <w:sz w:val="18"/>
              </w:rPr>
              <w:t>影响性分析</w:t>
            </w:r>
          </w:p>
        </w:tc>
        <w:tc>
          <w:tcPr>
            <w:tcW w:type="dxa" w:w="4176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color w:val="222B36"/>
                <w:sz w:val="18"/>
              </w:rPr>
              <w:t>根据需求范围填写影响条目。</w:t>
            </w:r>
          </w:p>
        </w:tc>
        <w:tc>
          <w:tcPr>
            <w:tcW w:type="dxa" w:w="266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color w:val="222B36"/>
                <w:sz w:val="18"/>
              </w:rPr>
              <w:t>供投产审批和测试覆盖检查引用。</w:t>
            </w:r>
          </w:p>
        </w:tc>
      </w:tr>
      <w:tr>
        <w:tc>
          <w:tcPr>
            <w:tcW w:type="dxa" w:w="2232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color w:val="222B36"/>
                <w:sz w:val="18"/>
              </w:rPr>
              <w:t>阶段附件</w:t>
            </w:r>
          </w:p>
        </w:tc>
        <w:tc>
          <w:tcPr>
            <w:tcW w:type="dxa" w:w="4176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color w:val="222B36"/>
                <w:sz w:val="18"/>
              </w:rPr>
              <w:t>根据字段要求上传文件或登记共享路径。</w:t>
            </w:r>
          </w:p>
        </w:tc>
        <w:tc>
          <w:tcPr>
            <w:tcW w:type="dxa" w:w="266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color w:val="222B36"/>
                <w:sz w:val="18"/>
              </w:rPr>
              <w:t>编码检查表、技术方案确认单支持模板下载。</w:t>
            </w:r>
          </w:p>
        </w:tc>
      </w:tr>
    </w:tbl>
    <w:p>
      <w:pPr>
        <w:spacing w:before="0" w:after="40" w:line="288" w:lineRule="auto"/>
      </w:pPr>
    </w:p>
    <w:p>
      <w:pPr>
        <w:pStyle w:val="Heading1"/>
        <w:keepNext/>
        <w:spacing w:before="280" w:after="120"/>
      </w:pPr>
      <w:r>
        <w:rPr>
          <w:rFonts w:ascii="Arial Unicode MS" w:hAnsi="Arial Unicode MS" w:eastAsia="Arial Unicode MS" w:cs="Arial Unicode MS"/>
          <w:b/>
          <w:color w:val="2E74B5"/>
          <w:sz w:val="30"/>
        </w:rPr>
        <w:t>七、影响性分析与阶段附件</w:t>
      </w:r>
    </w:p>
    <w:p>
      <w:pPr>
        <w:pStyle w:val="ListBullet"/>
        <w:spacing w:after="80"/>
        <w:ind w:left="360"/>
      </w:pPr>
      <w:r>
        <w:rPr>
          <w:rFonts w:ascii="Arial Unicode MS" w:hAnsi="Arial Unicode MS" w:eastAsia="Arial Unicode MS" w:cs="Arial Unicode MS"/>
          <w:color w:val="222B36"/>
          <w:sz w:val="21"/>
        </w:rPr>
        <w:t>“填写影响性分析”用于结构化登记影响点，保存后详情页会显示已填写条数。</w:t>
      </w:r>
    </w:p>
    <w:p>
      <w:pPr>
        <w:pStyle w:val="ListBullet"/>
        <w:spacing w:after="80"/>
        <w:ind w:left="360"/>
      </w:pPr>
      <w:r>
        <w:rPr>
          <w:rFonts w:ascii="Arial Unicode MS" w:hAnsi="Arial Unicode MS" w:eastAsia="Arial Unicode MS" w:cs="Arial Unicode MS"/>
          <w:color w:val="222B36"/>
          <w:sz w:val="21"/>
        </w:rPr>
        <w:t>概要设计、详细设计、代码走查、单元测试报告等附件根据状态规则显示和校验。</w:t>
      </w:r>
    </w:p>
    <w:p>
      <w:pPr>
        <w:pStyle w:val="ListBullet"/>
        <w:spacing w:after="80"/>
        <w:ind w:left="360"/>
      </w:pPr>
      <w:r>
        <w:rPr>
          <w:rFonts w:ascii="Arial Unicode MS" w:hAnsi="Arial Unicode MS" w:eastAsia="Arial Unicode MS" w:cs="Arial Unicode MS"/>
          <w:color w:val="222B36"/>
          <w:sz w:val="21"/>
        </w:rPr>
        <w:t>近期系统新增“编码检查表”和“技术方案确认单”模板下载入口，可在对应附件标题右侧点击下载图标。</w:t>
      </w:r>
    </w:p>
    <w:p>
      <w:pPr>
        <w:pStyle w:val="Heading1"/>
        <w:keepNext/>
        <w:spacing w:before="280" w:after="120"/>
      </w:pPr>
      <w:r>
        <w:rPr>
          <w:rFonts w:ascii="Arial Unicode MS" w:hAnsi="Arial Unicode MS" w:eastAsia="Arial Unicode MS" w:cs="Arial Unicode MS"/>
          <w:b/>
          <w:color w:val="2E74B5"/>
          <w:sz w:val="30"/>
        </w:rPr>
        <w:t>八、导入、导出与模板下载</w:t>
      </w:r>
    </w:p>
    <w:p>
      <w:pPr>
        <w:spacing w:before="0" w:after="120" w:line="288" w:lineRule="auto"/>
      </w:pPr>
      <w:r>
        <w:rPr>
          <w:rFonts w:ascii="Arial Unicode MS" w:hAnsi="Arial Unicode MS" w:eastAsia="Arial Unicode MS" w:cs="Arial Unicode MS"/>
          <w:b w:val="0"/>
          <w:i w:val="0"/>
          <w:color w:val="222B36"/>
          <w:sz w:val="21"/>
        </w:rPr>
        <w:t>开发任务可通过 Excel 导入批量维护，也可按当前筛选条件导出清单。导入前先下载模板，并统一填写系统、负责人、状态等字典值。</w:t>
      </w:r>
    </w:p>
    <w:p>
      <w:pPr>
        <w:spacing w:before="80" w:after="80" w:line="288" w:lineRule="auto"/>
        <w:jc w:val="center"/>
      </w:pPr>
      <w:r>
        <w:rPr>
          <w:rFonts w:ascii="Arial Unicode MS" w:hAnsi="Arial Unicode MS" w:eastAsia="Arial Unicode MS" w:cs="Arial Unicode MS"/>
          <w:b/>
          <w:i w:val="0"/>
          <w:color w:val="5C6877"/>
          <w:sz w:val="19"/>
        </w:rPr>
        <w:t>图 5  开发任务 Excel 导入</w:t>
      </w:r>
    </w:p>
    <w:p>
      <w:pPr>
        <w:spacing w:after="160"/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5806440" cy="326612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-03-intake-previ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before="280" w:after="120"/>
      </w:pPr>
      <w:r>
        <w:rPr>
          <w:rFonts w:ascii="Arial Unicode MS" w:hAnsi="Arial Unicode MS" w:eastAsia="Arial Unicode MS" w:cs="Arial Unicode MS"/>
          <w:b/>
          <w:color w:val="2E74B5"/>
          <w:sz w:val="30"/>
        </w:rPr>
        <w:t>九、删除、限制与常见提示</w:t>
      </w:r>
    </w:p>
    <w:p>
      <w:pPr>
        <w:pStyle w:val="ListBullet"/>
        <w:spacing w:after="80"/>
        <w:ind w:left="360"/>
      </w:pPr>
      <w:r>
        <w:rPr>
          <w:rFonts w:ascii="Arial Unicode MS" w:hAnsi="Arial Unicode MS" w:eastAsia="Arial Unicode MS" w:cs="Arial Unicode MS"/>
          <w:color w:val="222B36"/>
          <w:sz w:val="21"/>
        </w:rPr>
        <w:t>删除开发任务前需确认不会影响测试任务和投产审批资料。</w:t>
      </w:r>
    </w:p>
    <w:p>
      <w:pPr>
        <w:pStyle w:val="ListBullet"/>
        <w:spacing w:after="80"/>
        <w:ind w:left="360"/>
      </w:pPr>
      <w:r>
        <w:rPr>
          <w:rFonts w:ascii="Arial Unicode MS" w:hAnsi="Arial Unicode MS" w:eastAsia="Arial Unicode MS" w:cs="Arial Unicode MS"/>
          <w:color w:val="222B36"/>
          <w:sz w:val="21"/>
        </w:rPr>
        <w:t>若承接预览显示任务已存在，应优先编辑既有任务，不重复承接。</w:t>
      </w:r>
    </w:p>
    <w:p>
      <w:pPr>
        <w:pStyle w:val="ListBullet"/>
        <w:spacing w:after="80"/>
        <w:ind w:left="360"/>
      </w:pPr>
      <w:r>
        <w:rPr>
          <w:rFonts w:ascii="Arial Unicode MS" w:hAnsi="Arial Unicode MS" w:eastAsia="Arial Unicode MS" w:cs="Arial Unicode MS"/>
          <w:color w:val="222B36"/>
          <w:sz w:val="21"/>
        </w:rPr>
        <w:t>模板下载失败时先确认当前任务已保存并拥有开发编辑权限。</w:t>
      </w:r>
    </w:p>
    <w:p>
      <w:pPr>
        <w:pStyle w:val="Heading1"/>
        <w:keepNext/>
        <w:spacing w:before="280" w:after="120"/>
      </w:pPr>
      <w:r>
        <w:rPr>
          <w:rFonts w:ascii="Arial Unicode MS" w:hAnsi="Arial Unicode MS" w:eastAsia="Arial Unicode MS" w:cs="Arial Unicode MS"/>
          <w:b/>
          <w:color w:val="2E74B5"/>
          <w:sz w:val="30"/>
        </w:rPr>
        <w:t>十、日常操作检查清单</w:t>
      </w:r>
    </w:p>
    <w:p>
      <w:pPr>
        <w:pStyle w:val="ListBullet"/>
        <w:spacing w:after="80"/>
        <w:ind w:left="360"/>
      </w:pPr>
      <w:r>
        <w:rPr>
          <w:rFonts w:ascii="Arial Unicode MS" w:hAnsi="Arial Unicode MS" w:eastAsia="Arial Unicode MS" w:cs="Arial Unicode MS"/>
          <w:color w:val="222B36"/>
          <w:sz w:val="21"/>
        </w:rPr>
        <w:t>每天查看本人负责的开发任务和状态。</w:t>
      </w:r>
    </w:p>
    <w:p>
      <w:pPr>
        <w:pStyle w:val="ListBullet"/>
        <w:spacing w:after="80"/>
        <w:ind w:left="360"/>
      </w:pPr>
      <w:r>
        <w:rPr>
          <w:rFonts w:ascii="Arial Unicode MS" w:hAnsi="Arial Unicode MS" w:eastAsia="Arial Unicode MS" w:cs="Arial Unicode MS"/>
          <w:color w:val="222B36"/>
          <w:sz w:val="21"/>
        </w:rPr>
        <w:t>承接前确认需求/工单计划投产点和涉及系统。</w:t>
      </w:r>
    </w:p>
    <w:p>
      <w:pPr>
        <w:pStyle w:val="ListBullet"/>
        <w:spacing w:after="80"/>
        <w:ind w:left="360"/>
      </w:pPr>
      <w:r>
        <w:rPr>
          <w:rFonts w:ascii="Arial Unicode MS" w:hAnsi="Arial Unicode MS" w:eastAsia="Arial Unicode MS" w:cs="Arial Unicode MS"/>
          <w:color w:val="222B36"/>
          <w:sz w:val="21"/>
        </w:rPr>
        <w:t>开发进入终态前补齐排期、影响性分析和阶段附件。</w:t>
      </w:r>
    </w:p>
    <w:p>
      <w:pPr>
        <w:pStyle w:val="ListBullet"/>
        <w:spacing w:after="80"/>
        <w:ind w:left="360"/>
      </w:pPr>
      <w:r>
        <w:rPr>
          <w:rFonts w:ascii="Arial Unicode MS" w:hAnsi="Arial Unicode MS" w:eastAsia="Arial Unicode MS" w:cs="Arial Unicode MS"/>
          <w:color w:val="222B36"/>
          <w:sz w:val="21"/>
        </w:rPr>
        <w:t>导出清单前设置正确筛选条件。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 w:cs="Arial Unicode MS"/>
        <w:color w:val="5C6877"/>
        <w:sz w:val="17"/>
      </w:rPr>
      <w:t>RADAR 日常需求研发流程管理平台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 Unicode MS" w:hAnsi="Arial Unicode MS" w:eastAsia="Arial Unicode MS" w:cs="Arial Unicode MS"/>
        <w:color w:val="5C6877"/>
        <w:sz w:val="17"/>
      </w:rPr>
      <w:t>RADAR · 开发管理操作手册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 w:cs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 w:cs="Arial Unicode M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 Unicode MS" w:hAnsi="Arial Unicode MS" w:eastAsia="Arial Unicode MS" w:cs="Arial Unicode M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 w:cs="Arial Unicode M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 Unicode MS" w:hAnsi="Arial Unicode MS" w:eastAsia="Arial Unicode MS"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 Unicode MS" w:hAnsi="Arial Unicode MS" w:eastAsia="Arial Unicode MS" w:cs="Arial Unicode MS"/>
    </w:rPr>
  </w:style>
  <w:style w:type="table" w:default="1" w:styleId="TableNormal">
    <w:name w:val="Normal Table"/>
    <w:uiPriority w:val="99"/>
    <w:semiHidden/>
    <w:unhideWhenUsed/>
    <w:rPr>
      <w:rFonts w:ascii="Arial Unicode MS" w:hAnsi="Arial Unicode MS" w:eastAsia="Arial Unicode MS" w:cs="Arial Unicode M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 Unicode MS" w:hAnsi="Arial Unicode MS" w:eastAsia="Arial Unicode MS" w:cs="Arial Unicode M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 Unicode MS" w:hAnsi="Arial Unicode MS" w:eastAsia="Arial Unicode MS" w:cs="Arial Unicode M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 Unicode MS" w:hAnsi="Arial Unicode MS" w:eastAsia="Arial Unicode MS" w:cs="Arial Unicode M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 Unicode MS" w:hAnsi="Arial Unicode MS" w:eastAsia="Arial Unicode MS" w:cs="Arial Unicode M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 Unicode MS" w:hAnsi="Arial Unicode MS" w:eastAsia="Arial Unicode MS" w:cs="Arial Unicode M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 Unicode MS" w:hAnsi="Arial Unicode MS" w:eastAsia="Arial Unicode MS" w:cs="Arial Unicode M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 Unicode MS" w:hAnsi="Arial Unicode MS" w:eastAsia="Arial Unicode MS" w:cs="Arial Unicode M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 Unicode MS" w:hAnsi="Arial Unicode MS" w:eastAsia="Arial Unicode MS" w:cs="Arial Unicode M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 Unicode MS" w:hAnsi="Arial Unicode MS" w:eastAsia="Arial Unicode MS" w:cs="Arial Unicode M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 Unicode MS" w:hAnsi="Arial Unicode MS" w:eastAsia="Arial Unicode MS" w:cs="Arial Unicode M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 Unicode MS" w:hAnsi="Arial Unicode MS" w:eastAsia="Arial Unicode MS" w:cs="Arial Unicode M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 w:cs="Arial Unicode M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 Unicode MS" w:hAnsi="Arial Unicode MS" w:eastAsia="Arial Unicode MS" w:cs="Arial Unicode M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 Unicode MS" w:hAnsi="Arial Unicode MS" w:eastAsia="Arial Unicode MS" w:cs="Arial Unicode M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 w:cs="Arial Unicode M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 Unicode MS" w:hAnsi="Arial Unicode MS" w:eastAsia="Arial Unicode MS" w:cs="Arial Unicode M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 Unicode MS" w:hAnsi="Arial Unicode MS" w:eastAsia="Arial Unicode MS" w:cs="Arial Unicode M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 Unicode MS" w:hAnsi="Arial Unicode MS" w:eastAsia="Arial Unicode MS" w:cs="Arial Unicode M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 Unicode MS" w:hAnsi="Arial Unicode MS" w:eastAsia="Arial Unicode MS" w:cs="Arial Unicode M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 Unicode MS" w:hAnsi="Arial Unicode MS" w:eastAsia="Arial Unicode MS" w:cs="Arial Unicode M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 Unicode MS" w:hAnsi="Arial Unicode MS" w:eastAsia="Arial Unicode MS" w:cs="Arial Unicode M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 Unicode MS" w:hAnsi="Arial Unicode MS" w:eastAsia="Arial Unicode MS" w:cs="Arial Unicode M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 Unicode MS" w:hAnsi="Arial Unicode MS" w:eastAsia="Arial Unicode MS" w:cs="Arial Unicode M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 Unicode MS" w:hAnsi="Arial Unicode MS" w:eastAsia="Arial Unicode MS" w:cs="Arial Unicode M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 Unicode MS" w:hAnsi="Arial Unicode MS" w:eastAsia="Arial Unicode MS" w:cs="Arial Unicode M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 Unicode MS" w:hAnsi="Arial Unicode MS" w:eastAsia="Arial Unicode MS" w:cs="Arial Unicode M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 Unicode MS" w:hAnsi="Arial Unicode MS" w:eastAsia="Arial Unicode MS" w:cs="Arial Unicode M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 Unicode MS" w:hAnsi="Arial Unicode MS" w:eastAsia="Arial Unicode MS" w:cs="Arial Unicode M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 Unicode MS" w:hAnsi="Arial Unicode MS" w:eastAsia="Arial Unicode MS" w:cs="Arial Unicode M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 Unicode MS" w:hAnsi="Arial Unicode MS" w:eastAsia="Arial Unicode MS" w:cs="Arial Unicode M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 Unicode MS" w:hAnsi="Arial Unicode MS" w:eastAsia="Arial Unicode MS" w:cs="Arial Unicode M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 Unicode MS" w:hAnsi="Arial Unicode MS" w:eastAsia="Arial Unicode MS" w:cs="Arial Unicode M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 Unicode MS" w:hAnsi="Arial Unicode MS" w:eastAsia="Arial Unicode MS" w:cs="Arial Unicode M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