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32"/>
        </w:rPr>
        <w:t>RADAR</w:t>
      </w:r>
    </w:p>
    <w:p>
      <w:pPr>
        <w:spacing w:before="0" w:after="80" w:line="288" w:lineRule="auto"/>
      </w:pPr>
      <w:r>
        <w:rPr>
          <w:rFonts w:ascii="Arial Unicode MS" w:hAnsi="Arial Unicode MS" w:eastAsia="Arial Unicode MS" w:cs="Arial Unicode MS"/>
          <w:b/>
          <w:i w:val="0"/>
          <w:color w:val="222B36"/>
          <w:sz w:val="44"/>
        </w:rPr>
        <w:t>投产申请操作手册</w:t>
      </w:r>
    </w:p>
    <w:p>
      <w:pPr>
        <w:spacing w:before="0" w:after="36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22"/>
        </w:rPr>
        <w:t>面向投产申请人员，说明变更申请、申请投产点、交付制品和导入导出维护</w:t>
      </w:r>
    </w:p>
    <w:p>
      <w:pPr>
        <w:spacing w:before="0" w:after="28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5C6877"/>
          <w:sz w:val="19"/>
        </w:rPr>
        <w:t>适用版本：本地 main 分支最新页面；资料依据近期代码变更与本地演示数据截图编制。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目录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一、手册说明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二、角色权限与使用边界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三、登录与进入投产申请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四、页面布局与查询筛选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五、新增投产申请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六、申请投产点与关联需求/工单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七、交付制品维护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八、导入、导出与批量维护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九、限制与常见提示</w:t>
      </w:r>
    </w:p>
    <w:p>
      <w:pPr>
        <w:spacing w:before="0" w:after="4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0"/>
        </w:rPr>
        <w:t>十、日常操作检查清单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一、手册说明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本文档用于指导用户在 RADAR 系统中维护投产申请，包括新增变更申请、关联需求或工单、选择申请投产点、维护变更系统、实施机构、变更内容、影响范围、交付制品、摆渡状态以及导入导出。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二、角色权限与使用边界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角色/人员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可执行操作</w:t>
            </w:r>
          </w:p>
        </w:tc>
        <w:tc>
          <w:tcPr>
            <w:tcW w:type="dxa" w:w="273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注意事项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投产申请人/开发或投产协调人员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查看、筛选、维护投产申请相关数据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以系统分配的菜单权限、字段权限和状态必填规则为准。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管理员/超级管理员</w:t>
            </w:r>
          </w:p>
        </w:tc>
        <w:tc>
          <w:tcPr>
            <w:tcW w:type="dxa" w:w="40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配置基础资料、处理异常数据、维护权限和导入导出</w:t>
            </w:r>
          </w:p>
        </w:tc>
        <w:tc>
          <w:tcPr>
            <w:tcW w:type="dxa" w:w="273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仅在业务确认后执行删除、覆盖导入、密码重置等管理动作。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三、登录与进入投产申请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打开系统访问地址，进入登录页。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输入管理员分配的登录名或手机号、密码，点击登录。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登录后确认左下角用户信息显示为本人，并确认当前角色具备对应菜单权限。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在左侧菜单点击“投产申请”，进入列表页面。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确认顶部投产点选择范围正确；若需要跨投产点查询，可切换为“所有投产点”。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四、页面布局与查询筛选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投产申请列表按投产窗口范围展示变更申请。列表展示评审状态、变更编号、申请投产点、变更系统、变更内容、交付制品、实施机构和操作列。近期列表已在“变更编号”后新增“申请投产点”字段，便于确认审批维度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1  投产申请列表页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8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ly-01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五、新增投产申请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新增申请时，先选择关联需求/工单，再填写变更明细和交付制品。系统会根据首个关联工作项自动带入申请投产点，并按投产点生成变更编号；用户可根据实际投产安排调整。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2  新增投产申请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ly-02-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点击“新增申请”。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在“关联需求/工单”区域选择一个或多个需求/工单。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确认或调整“申请投产点”；如所选多个需求/工单不在同一投产点，系统会提示但不阻断保存。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点击“生成”自动生成变更编号，或按规则手动填写。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选择变更系统，系统会根据系统资料返显实施机构、变更负责部门等信息。</w:t>
      </w:r>
    </w:p>
    <w:p>
      <w:pPr>
        <w:pStyle w:val="ListNumber"/>
        <w:spacing w:after="80"/>
        <w:ind w:left="360" w:hanging="72"/>
      </w:pPr>
      <w:r>
        <w:rPr>
          <w:rFonts w:ascii="Arial Unicode MS" w:hAnsi="Arial Unicode MS" w:eastAsia="Arial Unicode MS" w:cs="Arial Unicode MS"/>
          <w:color w:val="222B36"/>
          <w:sz w:val="21"/>
        </w:rPr>
        <w:t>填写变更内容、影响范围和交付制品后提交申请。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六、申请投产点与关联需求/工单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“申请投产点”表示本次变更申请希望进入的投产窗口，与需求/工单自身的计划投产点可以不同。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投产审批列表会按“需求/工单 + 申请投产点”拆成多条审批记录，分别会签。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如果投产申请中修改申请投产点，投产审批中原申请点下的关联制品会自动挪出，不再混入旧申请点审批上下文。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七、交付制品维护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交付制品支持多组维护，每组包含制品类型、交付单元名称、介质库路径或文件名、新版本号和摆渡状态。编辑既有申请时可维护摆渡状态。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3  编辑投产申请与交付制品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ly-03-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439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填写要求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变更编号</w:t>
            </w:r>
          </w:p>
        </w:tc>
        <w:tc>
          <w:tcPr>
            <w:tcW w:type="dxa" w:w="43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唯一，不包含空格；新增可自动生成。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审批、导出和追踪的主索引之一。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申请投产点</w:t>
            </w:r>
          </w:p>
        </w:tc>
        <w:tc>
          <w:tcPr>
            <w:tcW w:type="dxa" w:w="43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选择本次申请希望进入的投产窗口。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审批列表和制品关联按此字段拆分。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变更系统</w:t>
            </w:r>
          </w:p>
        </w:tc>
        <w:tc>
          <w:tcPr>
            <w:tcW w:type="dxa" w:w="43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选择本次变更所属系统。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用于返显机构和部门信息。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交付制品</w:t>
            </w:r>
          </w:p>
        </w:tc>
        <w:tc>
          <w:tcPr>
            <w:tcW w:type="dxa" w:w="43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按制品类型、名称/路径、新版本号维护。</w:t>
            </w:r>
          </w:p>
        </w:tc>
        <w:tc>
          <w:tcPr>
            <w:tcW w:type="dxa" w:w="266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color w:val="222B36"/>
                <w:sz w:val="18"/>
              </w:rPr>
              <w:t>投产审批详情会按申请投产点引用。</w:t>
            </w:r>
          </w:p>
        </w:tc>
      </w:tr>
    </w:tbl>
    <w:p>
      <w:pPr>
        <w:spacing w:before="0" w:after="40" w:line="288" w:lineRule="auto"/>
      </w:pP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八、导入、导出与批量维护</w:t>
      </w:r>
    </w:p>
    <w:p>
      <w:pPr>
        <w:spacing w:before="0" w:after="120" w:line="288" w:lineRule="auto"/>
      </w:pPr>
      <w:r>
        <w:rPr>
          <w:rFonts w:ascii="Arial Unicode MS" w:hAnsi="Arial Unicode MS" w:eastAsia="Arial Unicode MS" w:cs="Arial Unicode MS"/>
          <w:b w:val="0"/>
          <w:i w:val="0"/>
          <w:color w:val="222B36"/>
          <w:sz w:val="21"/>
        </w:rPr>
        <w:t>投产申请支持 Excel 导入和按筛选条件导出。批量导入前应下载模板，重点校验变更编号、申请投产点、关联需求/工单编号、系统编号和制品信息。</w:t>
      </w:r>
    </w:p>
    <w:p>
      <w:pPr>
        <w:spacing w:before="80" w:after="80" w:line="288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5C6877"/>
          <w:sz w:val="19"/>
        </w:rPr>
        <w:t>图 4  投产申请 Excel 导入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</w:rP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apply-02-n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九、限制与常见提示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编辑态下关联需求/工单通常不可随意移除，避免审批上下文变化。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申请投产点与计划投产点不一致时，应在变更内容或影响范围中说明原因。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同一需求/工单在不同申请投产点下会形成不同审批记录。</w:t>
      </w:r>
    </w:p>
    <w:p>
      <w:pPr>
        <w:pStyle w:val="Heading1"/>
        <w:keepNext/>
        <w:spacing w:before="280" w:after="120"/>
      </w:pPr>
      <w:r>
        <w:rPr>
          <w:rFonts w:ascii="Arial Unicode MS" w:hAnsi="Arial Unicode MS" w:eastAsia="Arial Unicode MS" w:cs="Arial Unicode MS"/>
          <w:b/>
          <w:color w:val="2E74B5"/>
          <w:sz w:val="30"/>
        </w:rPr>
        <w:t>十、日常操作检查清单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新增前确认关联需求/工单范围。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提交前核对申请投产点、变更编号、变更系统和实施机构。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至少维护一组交付制品，并确认新版本号和摆渡状态。</w:t>
      </w:r>
    </w:p>
    <w:p>
      <w:pPr>
        <w:pStyle w:val="ListBullet"/>
        <w:spacing w:after="80"/>
        <w:ind w:left="360"/>
      </w:pPr>
      <w:r>
        <w:rPr>
          <w:rFonts w:ascii="Arial Unicode MS" w:hAnsi="Arial Unicode MS" w:eastAsia="Arial Unicode MS" w:cs="Arial Unicode MS"/>
          <w:color w:val="222B36"/>
          <w:sz w:val="21"/>
        </w:rPr>
        <w:t>保存后到投产审批列表核对是否生成对应审批记录。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C6877"/>
        <w:sz w:val="17"/>
      </w:rPr>
      <w:t>RADAR 日常需求研发流程管理平台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color w:val="5C6877"/>
        <w:sz w:val="17"/>
      </w:rPr>
      <w:t>RADAR · 投产申请操作手册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 w:cs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