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CAP-001_Audit_Compliance_Guide_v2</w:t>
      </w:r>
    </w:p>
    <w:p>
      <w:pPr>
        <w:jc w:val="center"/>
      </w:pPr>
      <w:r>
        <w:rPr>
          <w:sz w:val="22"/>
        </w:rPr>
        <w:t>投资者分类服务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CAP-001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IV; Broker-Dealer Part II.A; Compliance&amp;Risk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CAP-001（投资者分类服务）在 VARA 监管口径下的流程、职责与证据要求。</w:t>
      </w:r>
    </w:p>
    <w:p>
      <w:pPr>
        <w:pStyle w:val="ListBullet"/>
      </w:pPr>
      <w:r>
        <w:t>范围涵盖初始分类、Qualified 持续复核、分类变更触发的交易门禁与记录留存。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only carry out a VA Activity ... in relation to the classifications of investors permitted by VARA"</w:t>
            </w:r>
          </w:p>
        </w:tc>
        <w:tc>
          <w:tcPr>
            <w:tcW w:type="dxa" w:w="2160"/>
          </w:tcPr>
          <w:p>
            <w:r>
              <w:t>Market Conduct / Part IV.A.1 / Rule IV.A.1 / p10</w:t>
            </w:r>
          </w:p>
        </w:tc>
        <w:tc>
          <w:tcPr>
            <w:tcW w:type="dxa" w:w="2160"/>
          </w:tcPr>
          <w:p>
            <w:r>
              <w:t>VA 活动必须与 VARA 允许的投资者分类一致。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"A Retail Investor means an Entity that is not an Institutional Investor or a Qualified Investor"</w:t>
            </w:r>
          </w:p>
        </w:tc>
        <w:tc>
          <w:tcPr>
            <w:tcW w:type="dxa" w:w="2160"/>
          </w:tcPr>
          <w:p>
            <w:r>
              <w:t>Market Conduct / Part IV.A.2 / Rule IV.A.2 / p10</w:t>
            </w:r>
          </w:p>
        </w:tc>
        <w:tc>
          <w:tcPr>
            <w:tcW w:type="dxa" w:w="2160"/>
          </w:tcPr>
          <w:p>
            <w:r>
              <w:t>Retail 定义是排除式定义。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"A Qualified Investor means ... an individual that has relevant knowledge ..."</w:t>
            </w:r>
          </w:p>
        </w:tc>
        <w:tc>
          <w:tcPr>
            <w:tcW w:type="dxa" w:w="2160"/>
          </w:tcPr>
          <w:p>
            <w:r>
              <w:t>Market Conduct / Part IV.A.3(a) / Rule IV.A.3 / p10</w:t>
            </w:r>
          </w:p>
        </w:tc>
        <w:tc>
          <w:tcPr>
            <w:tcW w:type="dxa" w:w="2160"/>
          </w:tcPr>
          <w:p>
            <w:r>
              <w:t>Qualified 需满足知识证明要求。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"maintains net assets ... of at least AED 3,500,000 ... shall be checked periodically"</w:t>
            </w:r>
          </w:p>
        </w:tc>
        <w:tc>
          <w:tcPr>
            <w:tcW w:type="dxa" w:w="2160"/>
          </w:tcPr>
          <w:p>
            <w:r>
              <w:t>Market Conduct / Part IV.A.3(a)(i) / Rule IV.A.3 / p10-11</w:t>
            </w:r>
          </w:p>
        </w:tc>
        <w:tc>
          <w:tcPr>
            <w:tcW w:type="dxa" w:w="2160"/>
          </w:tcPr>
          <w:p>
            <w:r>
              <w:t>Qualified 的资产门槛与周期复核是持续义务。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"has an annual income of AED 700,000 or more"</w:t>
            </w:r>
          </w:p>
        </w:tc>
        <w:tc>
          <w:tcPr>
            <w:tcW w:type="dxa" w:w="2160"/>
          </w:tcPr>
          <w:p>
            <w:r>
              <w:t>Market Conduct / Part IV.A.3(a)(ii) / Rule IV.A.3 / p11</w:t>
            </w:r>
          </w:p>
        </w:tc>
        <w:tc>
          <w:tcPr>
            <w:tcW w:type="dxa" w:w="2160"/>
          </w:tcPr>
          <w:p>
            <w:r>
              <w:t>Qualified 可通过年收入路径认定。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"An Institutional Investor means ... any Entity regulated by a competent financial services regulator ... any VASP"</w:t>
            </w:r>
          </w:p>
        </w:tc>
        <w:tc>
          <w:tcPr>
            <w:tcW w:type="dxa" w:w="2160"/>
          </w:tcPr>
          <w:p>
            <w:r>
              <w:t>Market Conduct / Part IV.A.4 / Rule IV.A.4 / p11-12</w:t>
            </w:r>
          </w:p>
        </w:tc>
        <w:tc>
          <w:tcPr>
            <w:tcW w:type="dxa" w:w="2160"/>
          </w:tcPr>
          <w:p>
            <w:r>
              <w:t>Institutional 的认定以机构属性和监管属性为核心。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"the client ... is a Qualified Investor or an Institutional Investor ..."</w:t>
            </w:r>
          </w:p>
        </w:tc>
        <w:tc>
          <w:tcPr>
            <w:tcW w:type="dxa" w:w="2160"/>
          </w:tcPr>
          <w:p>
            <w:r>
              <w:t>Broker-Dealer / Part II.A.2(b) / Rule II.A.2(b) / p7</w:t>
            </w:r>
          </w:p>
        </w:tc>
        <w:tc>
          <w:tcPr>
            <w:tcW w:type="dxa" w:w="2160"/>
          </w:tcPr>
          <w:p>
            <w:r>
              <w:t>分类结果会影响执行规则分支。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"except where a VASP provides ... a Qualified Investor or an Institutional Investor ... under Rule II.A.2"</w:t>
            </w:r>
          </w:p>
        </w:tc>
        <w:tc>
          <w:tcPr>
            <w:tcW w:type="dxa" w:w="2160"/>
          </w:tcPr>
          <w:p>
            <w:r>
              <w:t>Broker-Dealer / Part II.A.6 / Rule II.A.6 / p8</w:t>
            </w:r>
          </w:p>
        </w:tc>
        <w:tc>
          <w:tcPr>
            <w:tcW w:type="dxa" w:w="2160"/>
          </w:tcPr>
          <w:p>
            <w:r>
              <w:t>费用披露例外依赖客户分类与执行模式。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分类决策及交易路径必须形成可审计记录。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分类、复核、变更及门禁证据至少保留8年。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收集分类输入</w:t>
            </w:r>
          </w:p>
        </w:tc>
        <w:tc>
          <w:tcPr>
            <w:tcW w:type="dxa" w:w="1440"/>
          </w:tcPr>
          <w:p>
            <w:r>
              <w:t>采集自然人/法人身份、资产、收入、知识证明</w:t>
            </w:r>
          </w:p>
        </w:tc>
        <w:tc>
          <w:tcPr>
            <w:tcW w:type="dxa" w:w="1440"/>
          </w:tcPr>
          <w:p>
            <w:r>
              <w:t>分类材料完整</w:t>
            </w:r>
          </w:p>
        </w:tc>
        <w:tc>
          <w:tcPr>
            <w:tcW w:type="dxa" w:w="1440"/>
          </w:tcPr>
          <w:p>
            <w:r>
              <w:t>拒绝进入分类环节</w:t>
            </w:r>
          </w:p>
        </w:tc>
        <w:tc>
          <w:tcPr>
            <w:tcW w:type="dxa" w:w="1440"/>
          </w:tcPr>
          <w:p>
            <w:r>
              <w:t>申请资料包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投资者分类判定</w:t>
            </w:r>
          </w:p>
        </w:tc>
        <w:tc>
          <w:tcPr>
            <w:tcW w:type="dxa" w:w="1440"/>
          </w:tcPr>
          <w:p>
            <w:r>
              <w:t>按 IV.A.2/3/4 判定 Retail/Qualified/Institutional</w:t>
            </w:r>
          </w:p>
        </w:tc>
        <w:tc>
          <w:tcPr>
            <w:tcW w:type="dxa" w:w="1440"/>
          </w:tcPr>
          <w:p>
            <w:r>
              <w:t>分类结论可解释可追溯</w:t>
            </w:r>
          </w:p>
        </w:tc>
        <w:tc>
          <w:tcPr>
            <w:tcW w:type="dxa" w:w="1440"/>
          </w:tcPr>
          <w:p>
            <w:r>
              <w:t>退回补件或降级</w:t>
            </w:r>
          </w:p>
        </w:tc>
        <w:tc>
          <w:tcPr>
            <w:tcW w:type="dxa" w:w="1440"/>
          </w:tcPr>
          <w:p>
            <w:r>
              <w:t>分类决策记录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订单前门禁</w:t>
            </w:r>
          </w:p>
        </w:tc>
        <w:tc>
          <w:tcPr>
            <w:tcW w:type="dxa" w:w="1440"/>
          </w:tcPr>
          <w:p>
            <w:r>
              <w:t>仅允许该分类可执行的交易路径</w:t>
            </w:r>
          </w:p>
        </w:tc>
        <w:tc>
          <w:tcPr>
            <w:tcW w:type="dxa" w:w="1440"/>
          </w:tcPr>
          <w:p>
            <w:r>
              <w:t>门禁与分类一致</w:t>
            </w:r>
          </w:p>
        </w:tc>
        <w:tc>
          <w:tcPr>
            <w:tcW w:type="dxa" w:w="1440"/>
          </w:tcPr>
          <w:p>
            <w:r>
              <w:t>阻断违规路径</w:t>
            </w:r>
          </w:p>
        </w:tc>
        <w:tc>
          <w:tcPr>
            <w:tcW w:type="dxa" w:w="1440"/>
          </w:tcPr>
          <w:p>
            <w:r>
              <w:t>门禁日志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Qualified 持续复核</w:t>
            </w:r>
          </w:p>
        </w:tc>
        <w:tc>
          <w:tcPr>
            <w:tcW w:type="dxa" w:w="1440"/>
          </w:tcPr>
          <w:p>
            <w:r>
              <w:t>资产/收入/知识证明周期性检查</w:t>
            </w:r>
          </w:p>
        </w:tc>
        <w:tc>
          <w:tcPr>
            <w:tcW w:type="dxa" w:w="1440"/>
          </w:tcPr>
          <w:p>
            <w:r>
              <w:t>周期复核完成</w:t>
            </w:r>
          </w:p>
        </w:tc>
        <w:tc>
          <w:tcPr>
            <w:tcW w:type="dxa" w:w="1440"/>
          </w:tcPr>
          <w:p>
            <w:r>
              <w:t>分类降级与限制</w:t>
            </w:r>
          </w:p>
        </w:tc>
        <w:tc>
          <w:tcPr>
            <w:tcW w:type="dxa" w:w="1440"/>
          </w:tcPr>
          <w:p>
            <w:r>
              <w:t>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分类变更管理</w:t>
            </w:r>
          </w:p>
        </w:tc>
        <w:tc>
          <w:tcPr>
            <w:tcW w:type="dxa" w:w="1440"/>
          </w:tcPr>
          <w:p>
            <w:r>
              <w:t>变更后即刻应用新限制与披露口径</w:t>
            </w:r>
          </w:p>
        </w:tc>
        <w:tc>
          <w:tcPr>
            <w:tcW w:type="dxa" w:w="1440"/>
          </w:tcPr>
          <w:p>
            <w:r>
              <w:t>变更生效可审计</w:t>
            </w:r>
          </w:p>
        </w:tc>
        <w:tc>
          <w:tcPr>
            <w:tcW w:type="dxa" w:w="1440"/>
          </w:tcPr>
          <w:p>
            <w:r>
              <w:t>升级治理复核</w:t>
            </w:r>
          </w:p>
        </w:tc>
        <w:tc>
          <w:tcPr>
            <w:tcW w:type="dxa" w:w="1440"/>
          </w:tcPr>
          <w:p>
            <w:r>
              <w:t>变更审批与通知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</w:t>
            </w:r>
          </w:p>
        </w:tc>
        <w:tc>
          <w:tcPr>
            <w:tcW w:type="dxa" w:w="1440"/>
          </w:tcPr>
          <w:p>
            <w:r>
              <w:t>保留分类与门禁证据并可向 VARA 提供</w:t>
            </w:r>
          </w:p>
        </w:tc>
        <w:tc>
          <w:tcPr>
            <w:tcW w:type="dxa" w:w="1440"/>
          </w:tcPr>
          <w:p>
            <w:r>
              <w:t>随时可抽检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台账与导出记录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F-AUD-001-001 — 初始投资者分类与准入决策</w:t>
      </w:r>
    </w:p>
    <w:p>
      <w:r>
        <w:t>requirement_refs: C1/C2/C3/C6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[Collect Client Evidence] -&gt; [Apply IV.A Rules]</w:t>
        <w:br/>
        <w:t xml:space="preserve"> -&gt; {Class?}</w:t>
        <w:br/>
        <w:t xml:space="preserve">   Retail -&gt; [Retail Controls]</w:t>
        <w:br/>
        <w:t xml:space="preserve">   Qualified -&gt; [Qualified Controls]</w:t>
        <w:br/>
        <w:t xml:space="preserve">   Institutional -&gt; [Institutional Controls]</w:t>
        <w:br/>
        <w:t xml:space="preserve"> -&gt; [Record Decision]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B[Collect Client Evidence]</w:t>
        <w:br/>
        <w:t>B --&gt; C[Apply Part IV.A Rules]</w:t>
        <w:br/>
        <w:t>C --&gt; D{Investor Class?}</w:t>
        <w:br/>
        <w:t>D --&gt; E[Retail Controls]</w:t>
        <w:br/>
        <w:t>D --&gt; F[Qualified Controls]</w:t>
        <w:br/>
        <w:t>D --&gt; G[Institutional Controls]</w:t>
        <w:br/>
        <w:t>E --&gt; H[Record Decision]</w:t>
        <w:br/>
        <w:t>F --&gt; H</w:t>
        <w:br/>
        <w:t>G --&gt; H</w:t>
        <w:br/>
        <w:t>H --&gt; Z[End]</w:t>
        <w:br/>
        <w:t>```</w:t>
      </w:r>
    </w:p>
    <w:p>
      <w:r>
        <w:rPr>
          <w:b/>
        </w:rPr>
        <w:t>F-AUD-001-002 — Qualified 资格认定与周期复核</w:t>
      </w:r>
    </w:p>
    <w:p>
      <w:r>
        <w:t>requirement_refs: C4/C5/C9/C10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[Qualified Status Active] -&gt; [Periodic Review Trigger]</w:t>
        <w:br/>
        <w:t xml:space="preserve"> -&gt; [Recheck Net Assets/Income/Knowledge]</w:t>
        <w:br/>
        <w:t xml:space="preserve"> -&gt; {Still Qualified?}</w:t>
        <w:br/>
        <w:t xml:space="preserve">    Yes -&gt; [Maintain Status] -&gt; [Log Review]</w:t>
        <w:br/>
        <w:t xml:space="preserve">    No -&gt; [Downgrade Classification] -&gt; [Apply Restrictions] -&gt; [Log Review]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A[Qualified Status Active] --&gt; B[Periodic Review Trigger]</w:t>
        <w:br/>
        <w:t>B --&gt; C[Recheck Assets Income Knowledge]</w:t>
        <w:br/>
        <w:t>C --&gt; D{Still Qualified?}</w:t>
        <w:br/>
        <w:t>D -- Yes --&gt; E[Maintain Status]</w:t>
        <w:br/>
        <w:t>D -- No --&gt; F[Downgrade Classification]</w:t>
        <w:br/>
        <w:t>F --&gt; G[Apply Restrictions]</w:t>
        <w:br/>
        <w:t>E --&gt; H[Log Review]</w:t>
        <w:br/>
        <w:t>G --&gt; H</w:t>
        <w:br/>
        <w:t>```</w:t>
      </w:r>
    </w:p>
    <w:p>
      <w:r>
        <w:rPr>
          <w:b/>
        </w:rPr>
        <w:t>F-AUD-001-003 — 分类变更与受限业务拦截</w:t>
      </w:r>
    </w:p>
    <w:p>
      <w:r>
        <w:t>requirement_refs: C7/C8/C9/C10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[Classification Change Event] -&gt; [Re-evaluate Permissions]</w:t>
        <w:br/>
        <w:t xml:space="preserve"> -&gt; [Pre-trade Gate Check]</w:t>
        <w:br/>
        <w:t xml:space="preserve"> -&gt; {Allowed Path?}</w:t>
        <w:br/>
        <w:t xml:space="preserve">    No -&gt; [Block Restricted Service] -&gt; [Notify + Record]</w:t>
        <w:br/>
        <w:t xml:space="preserve">    Yes -&gt; [Allow Path with Correct Disclosure] -&gt; [Record]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A[Classification Change Event] --&gt; B[Re-evaluate Permissions]</w:t>
        <w:br/>
        <w:t>B --&gt; C[Pre-trade Gate Check]</w:t>
        <w:br/>
        <w:t>C --&gt; D{Allowed Path?}</w:t>
        <w:br/>
        <w:t>D -- No --&gt; E[Block Restricted Service]</w:t>
        <w:br/>
        <w:t>E --&gt; F[Notify and Record]</w:t>
        <w:br/>
        <w:t>D -- Yes --&gt; G[Allow with Correct Disclosure]</w:t>
        <w:br/>
        <w:t>G --&gt; H[Record]</w:t>
        <w:br/>
        <w:t>F --&gt; H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分类政策与阈值批准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初始分类判定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Qualified 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订单前分类门禁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分类变更通知与限制生效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分类判定记录</w:t>
            </w:r>
          </w:p>
        </w:tc>
        <w:tc>
          <w:tcPr>
            <w:tcW w:type="dxa" w:w="1728"/>
          </w:tcPr>
          <w:p>
            <w:r>
              <w:t>输入材料、判定规则、判定结论、判定人/时间</w:t>
            </w:r>
          </w:p>
        </w:tc>
        <w:tc>
          <w:tcPr>
            <w:tcW w:type="dxa" w:w="1728"/>
          </w:tcPr>
          <w:p>
            <w:r>
              <w:t>初始分类时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C1/C2/C3/C6/C10</w:t>
            </w:r>
          </w:p>
        </w:tc>
      </w:tr>
      <w:tr>
        <w:tc>
          <w:tcPr>
            <w:tcW w:type="dxa" w:w="1728"/>
          </w:tcPr>
          <w:p>
            <w:r>
              <w:t>Qualified 证明材料</w:t>
            </w:r>
          </w:p>
        </w:tc>
        <w:tc>
          <w:tcPr>
            <w:tcW w:type="dxa" w:w="1728"/>
          </w:tcPr>
          <w:p>
            <w:r>
              <w:t>资产证明、收入证明、知识证明、复核结论</w:t>
            </w:r>
          </w:p>
        </w:tc>
        <w:tc>
          <w:tcPr>
            <w:tcW w:type="dxa" w:w="1728"/>
          </w:tcPr>
          <w:p>
            <w:r>
              <w:t>初始与复核时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C4/C5/C10</w:t>
            </w:r>
          </w:p>
        </w:tc>
      </w:tr>
      <w:tr>
        <w:tc>
          <w:tcPr>
            <w:tcW w:type="dxa" w:w="1728"/>
          </w:tcPr>
          <w:p>
            <w:r>
              <w:t>门禁日志</w:t>
            </w:r>
          </w:p>
        </w:tc>
        <w:tc>
          <w:tcPr>
            <w:tcW w:type="dxa" w:w="1728"/>
          </w:tcPr>
          <w:p>
            <w:r>
              <w:t>订单分类、允许/阻断结果、规则版本</w:t>
            </w:r>
          </w:p>
        </w:tc>
        <w:tc>
          <w:tcPr>
            <w:tcW w:type="dxa" w:w="1728"/>
          </w:tcPr>
          <w:p>
            <w:r>
              <w:t>每笔交易前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C7/C8/C9/C10</w:t>
            </w:r>
          </w:p>
        </w:tc>
      </w:tr>
      <w:tr>
        <w:tc>
          <w:tcPr>
            <w:tcW w:type="dxa" w:w="1728"/>
          </w:tcPr>
          <w:p>
            <w:r>
              <w:t>分类变更审批与通知</w:t>
            </w:r>
          </w:p>
        </w:tc>
        <w:tc>
          <w:tcPr>
            <w:tcW w:type="dxa" w:w="1728"/>
          </w:tcPr>
          <w:p>
            <w:r>
              <w:t>变更原因、审批链、生效时间、通知对象</w:t>
            </w:r>
          </w:p>
        </w:tc>
        <w:tc>
          <w:tcPr>
            <w:tcW w:type="dxa" w:w="1728"/>
          </w:tcPr>
          <w:p>
            <w:r>
              <w:t>分类变更时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初始分类完成</w:t>
            </w:r>
          </w:p>
        </w:tc>
        <w:tc>
          <w:tcPr>
            <w:tcW w:type="dxa" w:w="2160"/>
          </w:tcPr>
          <w:p>
            <w:r>
              <w:t>开户前完成</w:t>
            </w:r>
          </w:p>
        </w:tc>
        <w:tc>
          <w:tcPr>
            <w:tcW w:type="dxa" w:w="2160"/>
          </w:tcPr>
          <w:p>
            <w:r>
              <w:t>按申请触发</w:t>
            </w:r>
          </w:p>
        </w:tc>
        <w:tc>
          <w:tcPr>
            <w:tcW w:type="dxa" w:w="2160"/>
          </w:tcPr>
          <w:p>
            <w:r>
              <w:t>C1/C2/C3/C6</w:t>
            </w:r>
          </w:p>
        </w:tc>
      </w:tr>
      <w:tr>
        <w:tc>
          <w:tcPr>
            <w:tcW w:type="dxa" w:w="2160"/>
          </w:tcPr>
          <w:p>
            <w:r>
              <w:t>Qualified 周期复核</w:t>
            </w:r>
          </w:p>
        </w:tc>
        <w:tc>
          <w:tcPr>
            <w:tcW w:type="dxa" w:w="2160"/>
          </w:tcPr>
          <w:p>
            <w:r>
              <w:t>周期性检查并留痕</w:t>
            </w:r>
          </w:p>
        </w:tc>
        <w:tc>
          <w:tcPr>
            <w:tcW w:type="dxa" w:w="2160"/>
          </w:tcPr>
          <w:p>
            <w:r>
              <w:t>建议季度或半年度</w:t>
            </w:r>
          </w:p>
        </w:tc>
        <w:tc>
          <w:tcPr>
            <w:tcW w:type="dxa" w:w="2160"/>
          </w:tcPr>
          <w:p>
            <w:r>
              <w:t>C4/C5</w:t>
            </w:r>
          </w:p>
        </w:tc>
      </w:tr>
      <w:tr>
        <w:tc>
          <w:tcPr>
            <w:tcW w:type="dxa" w:w="2160"/>
          </w:tcPr>
          <w:p>
            <w:r>
              <w:t>分类变更生效</w:t>
            </w:r>
          </w:p>
        </w:tc>
        <w:tc>
          <w:tcPr>
            <w:tcW w:type="dxa" w:w="2160"/>
          </w:tcPr>
          <w:p>
            <w:r>
              <w:t>审批后即时生效</w:t>
            </w:r>
          </w:p>
        </w:tc>
        <w:tc>
          <w:tcPr>
            <w:tcW w:type="dxa" w:w="2160"/>
          </w:tcPr>
          <w:p>
            <w:r>
              <w:t>按事件触发</w:t>
            </w:r>
          </w:p>
        </w:tc>
        <w:tc>
          <w:tcPr>
            <w:tcW w:type="dxa" w:w="2160"/>
          </w:tcPr>
          <w:p>
            <w:r>
              <w:t>C7/C8</w:t>
            </w:r>
          </w:p>
        </w:tc>
      </w:tr>
      <w:tr>
        <w:tc>
          <w:tcPr>
            <w:tcW w:type="dxa" w:w="2160"/>
          </w:tcPr>
          <w:p>
            <w:r>
              <w:t>门禁规则应用</w:t>
            </w:r>
          </w:p>
        </w:tc>
        <w:tc>
          <w:tcPr>
            <w:tcW w:type="dxa" w:w="2160"/>
          </w:tcPr>
          <w:p>
            <w:r>
              <w:t>交易前强制校验</w:t>
            </w:r>
          </w:p>
        </w:tc>
        <w:tc>
          <w:tcPr>
            <w:tcW w:type="dxa" w:w="2160"/>
          </w:tcPr>
          <w:p>
            <w:r>
              <w:t>每笔交易</w:t>
            </w:r>
          </w:p>
        </w:tc>
        <w:tc>
          <w:tcPr>
            <w:tcW w:type="dxa" w:w="2160"/>
          </w:tcPr>
          <w:p>
            <w:r>
              <w:t>C7/C8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是否已将客户明确归类为 Retail/Qualified/Institutional 之一？</w:t>
      </w:r>
    </w:p>
    <w:p>
      <w:r>
        <w:t>2. 是否每个 Qualified 认定路径都具备可验证证据？</w:t>
      </w:r>
    </w:p>
    <w:p>
      <w:r>
        <w:t>3. 是否对 Qualified 进行了周期复核并保留结论？</w:t>
      </w:r>
    </w:p>
    <w:p>
      <w:r>
        <w:t>4. 是否订单前门禁严格按分类限制路径执行？</w:t>
      </w:r>
    </w:p>
    <w:p>
      <w:r>
        <w:t>5. 是否分类变更后限制与披露规则即时切换？</w:t>
      </w:r>
    </w:p>
    <w:p>
      <w:r>
        <w:t>6. 是否可在监管抽检时导出完整分类与门禁证据包？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将 Retail 客户误判为 Qualified，但无法提供知识证明或资产证明。</w:t>
      </w:r>
    </w:p>
    <w:p>
      <w:pPr>
        <w:pStyle w:val="ListBullet"/>
      </w:pPr>
      <w:r>
        <w:t>Qualified 资格初次判定后未做周期复核，形成持续义务缺口。</w:t>
      </w:r>
    </w:p>
    <w:p>
      <w:pPr>
        <w:pStyle w:val="ListBullet"/>
      </w:pPr>
      <w:r>
        <w:t>分类标签更新但交易门禁未同步，出现“分类与交易路径不一致”。</w:t>
      </w:r>
    </w:p>
    <w:p>
      <w:pPr>
        <w:pStyle w:val="ListBullet"/>
      </w:pPr>
      <w:r>
        <w:t>分类变更生效延迟，导致旧权限在窗口期仍可被使用。</w:t>
      </w:r>
    </w:p>
    <w:p>
      <w:pPr>
        <w:pStyle w:val="ListBullet"/>
      </w:pPr>
      <w:r>
        <w:t>分类与门禁证据留存不完整，无法满足 8 年可追溯要求。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