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CAP-002_Audit_Compliance_Guide_v2</w:t>
      </w:r>
    </w:p>
    <w:p>
      <w:pPr>
        <w:jc w:val="center"/>
      </w:pPr>
      <w:r>
        <w:t>客户协议模板与版本库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CAP-002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Market Conduct Part II; Broker-Dealer Part II.A.6; Compliance &amp; Risk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AuditDocProfile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profile_id=audit_compact_v1; tech_output_enabled=false</w:t>
            </w:r>
          </w:p>
        </w:tc>
      </w:tr>
      <w:tr>
        <w:tc>
          <w:tcPr>
            <w:tcW w:type="dxa" w:w="2880"/>
          </w:tcPr>
          <w:p>
            <w:r>
              <w:t>AgreementTemplateRecord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template_id/jurisdiction_scope/required_clauses/version/effective_date/notice_window_days/acceptance_mode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CAP-002（客户协议模板与版本库）的合规控制要求，覆盖模板标准化、版本治理、通知时效与审计留存。</w:t>
      </w:r>
    </w:p>
    <w:p>
      <w:pPr>
        <w:pStyle w:val="ListBullet"/>
      </w:pPr>
      <w:r>
        <w:t>本 CAP 聚焦“模板与版本库治理”，不覆盖具体签署执行链路（签署执行链路归入 CAP-003）。</w:t>
      </w:r>
    </w:p>
    <w:p>
      <w:pPr>
        <w:pStyle w:val="ListBullet"/>
      </w:pPr>
      <w:r>
        <w:t>目标是确保客户协议文本 fair/clear/transparent、变更可追溯、通知合规并能随时响应监管抽检。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"VASPs shall enter into written agreements with each client ..."</w:t>
            </w:r>
          </w:p>
        </w:tc>
        <w:tc>
          <w:tcPr>
            <w:tcW w:type="dxa" w:w="2160"/>
          </w:tcPr>
          <w:p>
            <w:r>
              <w:t>Market Conduct / Part II.A.1 / Rule II.A.1 / p5</w:t>
            </w:r>
          </w:p>
        </w:tc>
        <w:tc>
          <w:tcPr>
            <w:tcW w:type="dxa" w:w="2160"/>
          </w:tcPr>
          <w:p>
            <w:r>
              <w:t>必须与每个客户形成书面协议，明确职责边界。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"Client Agreements must ... be fair, clear, transparent, accurate and not misleading"</w:t>
            </w:r>
          </w:p>
        </w:tc>
        <w:tc>
          <w:tcPr>
            <w:tcW w:type="dxa" w:w="2160"/>
          </w:tcPr>
          <w:p>
            <w:r>
              <w:t>Market Conduct / Part II.A.4 / Rule II.A.4 / p5</w:t>
            </w:r>
          </w:p>
        </w:tc>
        <w:tc>
          <w:tcPr>
            <w:tcW w:type="dxa" w:w="2160"/>
          </w:tcPr>
          <w:p>
            <w:r>
              <w:t>协议模板必须公平、清晰、透明且不误导。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"VASPs must obtain valid acceptance ... prior to ... VA Activities"</w:t>
            </w:r>
          </w:p>
        </w:tc>
        <w:tc>
          <w:tcPr>
            <w:tcW w:type="dxa" w:w="2160"/>
          </w:tcPr>
          <w:p>
            <w:r>
              <w:t>Market Conduct / Part II.A.5 / Rule II.A.5 / p5</w:t>
            </w:r>
          </w:p>
        </w:tc>
        <w:tc>
          <w:tcPr>
            <w:tcW w:type="dxa" w:w="2160"/>
          </w:tcPr>
          <w:p>
            <w:r>
              <w:t>在提供服务前必须取得有效接受。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"VASPs must send a copy of the Client Agreement ..."</w:t>
            </w:r>
          </w:p>
        </w:tc>
        <w:tc>
          <w:tcPr>
            <w:tcW w:type="dxa" w:w="2160"/>
          </w:tcPr>
          <w:p>
            <w:r>
              <w:t>Market Conduct / Part II.A.6 / Rule II.A.6 / p5</w:t>
            </w:r>
          </w:p>
        </w:tc>
        <w:tc>
          <w:tcPr>
            <w:tcW w:type="dxa" w:w="2160"/>
          </w:tcPr>
          <w:p>
            <w:r>
              <w:t>签后需向客户发送协议副本。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"notify clients of any change ... at least thirty (30) calendar days prior"</w:t>
            </w:r>
          </w:p>
        </w:tc>
        <w:tc>
          <w:tcPr>
            <w:tcW w:type="dxa" w:w="2160"/>
          </w:tcPr>
          <w:p>
            <w:r>
              <w:t>Market Conduct / Part II.A.7 / Rule II.A.7 / p5</w:t>
            </w:r>
          </w:p>
        </w:tc>
        <w:tc>
          <w:tcPr>
            <w:tcW w:type="dxa" w:w="2160"/>
          </w:tcPr>
          <w:p>
            <w:r>
              <w:t>任何协议变更需至少提前30个自然日通知。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"maintain a record of all versions ... identify all changes"</w:t>
            </w:r>
          </w:p>
        </w:tc>
        <w:tc>
          <w:tcPr>
            <w:tcW w:type="dxa" w:w="2160"/>
          </w:tcPr>
          <w:p>
            <w:r>
              <w:t>Market Conduct / Part II.A.9 / Rule II.A.9 / p5</w:t>
            </w:r>
          </w:p>
        </w:tc>
        <w:tc>
          <w:tcPr>
            <w:tcW w:type="dxa" w:w="2160"/>
          </w:tcPr>
          <w:p>
            <w:r>
              <w:t>须维护版本库并可识别版本差异。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"Client Agreements shall include ... methods ... communicate ... all fees ..."</w:t>
            </w:r>
          </w:p>
        </w:tc>
        <w:tc>
          <w:tcPr>
            <w:tcW w:type="dxa" w:w="2160"/>
          </w:tcPr>
          <w:p>
            <w:r>
              <w:t>Market Conduct / Part II.B.1(d)(e) / Rule II.B.1 / p5-6</w:t>
            </w:r>
          </w:p>
        </w:tc>
        <w:tc>
          <w:tcPr>
            <w:tcW w:type="dxa" w:w="2160"/>
          </w:tcPr>
          <w:p>
            <w:r>
              <w:t>模板必备字段需包含沟通机制与收费条款等。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"disclose ... prior to Execution and in the trade confirmation ... fees or commission"</w:t>
            </w:r>
          </w:p>
        </w:tc>
        <w:tc>
          <w:tcPr>
            <w:tcW w:type="dxa" w:w="2160"/>
          </w:tcPr>
          <w:p>
            <w:r>
              <w:t>Broker-Dealer / Part II.A.6 / Rule II.A.6 / p8</w:t>
            </w:r>
          </w:p>
        </w:tc>
        <w:tc>
          <w:tcPr>
            <w:tcW w:type="dxa" w:w="2160"/>
          </w:tcPr>
          <w:p>
            <w:r>
              <w:t>费用披露要求应在模板字段中可实现与可执行。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"keep their books and records properly ... proper audit trails"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模板变更与通知过程需形成审计轨迹。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协议版本与变更记录保留期不少于8年。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模板起草与条款基线建立</w:t>
            </w:r>
          </w:p>
        </w:tc>
        <w:tc>
          <w:tcPr>
            <w:tcW w:type="dxa" w:w="1440"/>
          </w:tcPr>
          <w:p>
            <w:r>
              <w:t>书面协议 + 必备字段完整（C1/C7）</w:t>
            </w:r>
          </w:p>
        </w:tc>
        <w:tc>
          <w:tcPr>
            <w:tcW w:type="dxa" w:w="1440"/>
          </w:tcPr>
          <w:p>
            <w:r>
              <w:t>模板字段完整且可读</w:t>
            </w:r>
          </w:p>
        </w:tc>
        <w:tc>
          <w:tcPr>
            <w:tcW w:type="dxa" w:w="1440"/>
          </w:tcPr>
          <w:p>
            <w:r>
              <w:t>退回补齐字段</w:t>
            </w:r>
          </w:p>
        </w:tc>
        <w:tc>
          <w:tcPr>
            <w:tcW w:type="dxa" w:w="1440"/>
          </w:tcPr>
          <w:p>
            <w:r>
              <w:t>模板草案与条款清单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法务/合规评审</w:t>
            </w:r>
          </w:p>
        </w:tc>
        <w:tc>
          <w:tcPr>
            <w:tcW w:type="dxa" w:w="1440"/>
          </w:tcPr>
          <w:p>
            <w:r>
              <w:t>公平清晰透明不误导（C2）</w:t>
            </w:r>
          </w:p>
        </w:tc>
        <w:tc>
          <w:tcPr>
            <w:tcW w:type="dxa" w:w="1440"/>
          </w:tcPr>
          <w:p>
            <w:r>
              <w:t>评审结论通过</w:t>
            </w:r>
          </w:p>
        </w:tc>
        <w:tc>
          <w:tcPr>
            <w:tcW w:type="dxa" w:w="1440"/>
          </w:tcPr>
          <w:p>
            <w:r>
              <w:t>整改后复审</w:t>
            </w:r>
          </w:p>
        </w:tc>
        <w:tc>
          <w:tcPr>
            <w:tcW w:type="dxa" w:w="1440"/>
          </w:tcPr>
          <w:p>
            <w:r>
              <w:t>评审意见与审批记录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版本批准与发布</w:t>
            </w:r>
          </w:p>
        </w:tc>
        <w:tc>
          <w:tcPr>
            <w:tcW w:type="dxa" w:w="1440"/>
          </w:tcPr>
          <w:p>
            <w:r>
              <w:t>版本可识别可追溯（C6）</w:t>
            </w:r>
          </w:p>
        </w:tc>
        <w:tc>
          <w:tcPr>
            <w:tcW w:type="dxa" w:w="1440"/>
          </w:tcPr>
          <w:p>
            <w:r>
              <w:t>版本号/生效日明确</w:t>
            </w:r>
          </w:p>
        </w:tc>
        <w:tc>
          <w:tcPr>
            <w:tcW w:type="dxa" w:w="1440"/>
          </w:tcPr>
          <w:p>
            <w:r>
              <w:t>禁止发布</w:t>
            </w:r>
          </w:p>
        </w:tc>
        <w:tc>
          <w:tcPr>
            <w:tcW w:type="dxa" w:w="1440"/>
          </w:tcPr>
          <w:p>
            <w:r>
              <w:t>版本发布记录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变更通知管理</w:t>
            </w:r>
          </w:p>
        </w:tc>
        <w:tc>
          <w:tcPr>
            <w:tcW w:type="dxa" w:w="1440"/>
          </w:tcPr>
          <w:p>
            <w:r>
              <w:t>至少提前30天通知（C5）</w:t>
            </w:r>
          </w:p>
        </w:tc>
        <w:tc>
          <w:tcPr>
            <w:tcW w:type="dxa" w:w="1440"/>
          </w:tcPr>
          <w:p>
            <w:r>
              <w:t>通知在时限内送达</w:t>
            </w:r>
          </w:p>
        </w:tc>
        <w:tc>
          <w:tcPr>
            <w:tcW w:type="dxa" w:w="1440"/>
          </w:tcPr>
          <w:p>
            <w:r>
              <w:t>延期生效并补通知</w:t>
            </w:r>
          </w:p>
        </w:tc>
        <w:tc>
          <w:tcPr>
            <w:tcW w:type="dxa" w:w="1440"/>
          </w:tcPr>
          <w:p>
            <w:r>
              <w:t>通知日志与送达凭证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接受与副本留存边界控制</w:t>
            </w:r>
          </w:p>
        </w:tc>
        <w:tc>
          <w:tcPr>
            <w:tcW w:type="dxa" w:w="1440"/>
          </w:tcPr>
          <w:p>
            <w:r>
              <w:t>有效接受与签后副本（C3/C4）</w:t>
            </w:r>
          </w:p>
        </w:tc>
        <w:tc>
          <w:tcPr>
            <w:tcW w:type="dxa" w:w="1440"/>
          </w:tcPr>
          <w:p>
            <w:r>
              <w:t>可证明接受与副本发送</w:t>
            </w:r>
          </w:p>
        </w:tc>
        <w:tc>
          <w:tcPr>
            <w:tcW w:type="dxa" w:w="1440"/>
          </w:tcPr>
          <w:p>
            <w:r>
              <w:t>补发与补录</w:t>
            </w:r>
          </w:p>
        </w:tc>
        <w:tc>
          <w:tcPr>
            <w:tcW w:type="dxa" w:w="1440"/>
          </w:tcPr>
          <w:p>
            <w:r>
              <w:t>接受记录与副本发送记录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归档与抽检响应</w:t>
            </w:r>
          </w:p>
        </w:tc>
        <w:tc>
          <w:tcPr>
            <w:tcW w:type="dxa" w:w="1440"/>
          </w:tcPr>
          <w:p>
            <w:r>
              <w:t>审计轨迹+8年留存（C9/C10）</w:t>
            </w:r>
          </w:p>
        </w:tc>
        <w:tc>
          <w:tcPr>
            <w:tcW w:type="dxa" w:w="1440"/>
          </w:tcPr>
          <w:p>
            <w:r>
              <w:t>抽检可导出</w:t>
            </w:r>
          </w:p>
        </w:tc>
        <w:tc>
          <w:tcPr>
            <w:tcW w:type="dxa" w:w="1440"/>
          </w:tcPr>
          <w:p>
            <w:r>
              <w:t>纠偏与追责</w:t>
            </w:r>
          </w:p>
        </w:tc>
        <w:tc>
          <w:tcPr>
            <w:tcW w:type="dxa" w:w="1440"/>
          </w:tcPr>
          <w:p>
            <w:r>
              <w:t>版本库台账与导出记录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F-AUD-002-001 — 客户协议模板生命周期（起草-&gt;评审-&gt;批准-&gt;发布）</w:t>
      </w:r>
    </w:p>
    <w:p>
      <w:r>
        <w:t>requirement_refs: C1/C2/C6/C7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[Draft Template with Mandatory Clauses]</w:t>
        <w:br/>
        <w:t xml:space="preserve"> -&gt; [Legal/Compliance Review]</w:t>
        <w:br/>
        <w:t xml:space="preserve"> -&gt; {Pass?}</w:t>
        <w:br/>
        <w:t xml:space="preserve">    No -&gt; [Remediate Draft] -&gt; [Re-Review]</w:t>
        <w:br/>
        <w:t xml:space="preserve">    Yes -&gt; [Approve Version]</w:t>
        <w:br/>
        <w:t xml:space="preserve"> -&gt; [Publish to Version Library]</w:t>
        <w:br/>
        <w:t xml:space="preserve"> -&gt; [Set Effective Date]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B[Draft Template with Mandatory Clauses]</w:t>
        <w:br/>
        <w:t>B --&gt; C[Legal and Compliance Review]</w:t>
        <w:br/>
        <w:t>C --&gt; D{Pass?}</w:t>
        <w:br/>
        <w:t>D -- No --&gt; E[Remediate Draft]</w:t>
        <w:br/>
        <w:t>E --&gt; C</w:t>
        <w:br/>
        <w:t>D -- Yes --&gt; F[Approve Version]</w:t>
        <w:br/>
        <w:t>F --&gt; G[Publish to Version Library]</w:t>
        <w:br/>
        <w:t>G --&gt; H[Set Effective Date]</w:t>
        <w:br/>
        <w:t>H --&gt; Z[End]</w:t>
        <w:br/>
        <w:t>```</w:t>
      </w:r>
    </w:p>
    <w:p>
      <w:r>
        <w:rPr>
          <w:b/>
        </w:rPr>
        <w:t>F-AUD-002-002 — 版本变更与30天通知（差异识别-&gt;通知-&gt;生效）</w:t>
      </w:r>
    </w:p>
    <w:p>
      <w:r>
        <w:t>requirement_refs: C5/C6/C9/C10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[Change Request] -&gt; [Diff Against Current Version]</w:t>
        <w:br/>
        <w:t xml:space="preserve"> -&gt; [Assess Client Impact]</w:t>
        <w:br/>
        <w:t xml:space="preserve"> -&gt; [Issue 30-day Notice]</w:t>
        <w:br/>
        <w:t xml:space="preserve"> -&gt; {Notice Window Complete?}</w:t>
        <w:br/>
        <w:t xml:space="preserve">    No -&gt; [Wait / Track Delivery]</w:t>
        <w:br/>
        <w:t xml:space="preserve">    Yes -&gt; [Activate New Version]</w:t>
        <w:br/>
        <w:t xml:space="preserve"> -&gt; [Archive Old+New+Diff]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A[Change Request] --&gt; B[Diff Against Current Version]</w:t>
        <w:br/>
        <w:t>B --&gt; C[Assess Client Impact]</w:t>
        <w:br/>
        <w:t>C --&gt; D[Issue 30-day Notice]</w:t>
        <w:br/>
        <w:t>D --&gt; E{Notice Window Complete?}</w:t>
        <w:br/>
        <w:t>E -- No --&gt; F[Wait and Track Delivery]</w:t>
        <w:br/>
        <w:t>F --&gt; E</w:t>
        <w:br/>
        <w:t>E -- Yes --&gt; G[Activate New Version]</w:t>
        <w:br/>
        <w:t>G --&gt; H[Archive Old New and Diff]</w:t>
        <w:br/>
        <w:t>H --&gt; Z[End]</w:t>
        <w:br/>
        <w:t>```</w:t>
      </w:r>
    </w:p>
    <w:p>
      <w:r>
        <w:rPr>
          <w:b/>
        </w:rPr>
        <w:t>F-AUD-002-003 — 有效接受与签后副本留存（接受校验-&gt;副本发送-&gt;记录归档）</w:t>
      </w:r>
    </w:p>
    <w:p>
      <w:r>
        <w:t>requirement_refs: C3/C4/C9/C10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[Agreement Presented] -&gt; [Validate Acceptance Form]</w:t>
        <w:br/>
        <w:t xml:space="preserve"> -&gt; {Acceptance Valid?}</w:t>
        <w:br/>
        <w:t xml:space="preserve">    No -&gt; [Reject Service Activation]</w:t>
        <w:br/>
        <w:t xml:space="preserve">    Yes -&gt; [Send Executed Copy to Client]</w:t>
        <w:br/>
        <w:t xml:space="preserve"> -&gt; [Store Acceptance + Copy Evidence]</w:t>
        <w:br/>
        <w:t xml:space="preserve"> -&gt; [Retention Tag &gt;=8 years]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A[Agreement Presented] --&gt; B[Validate Acceptance Form]</w:t>
        <w:br/>
        <w:t>B --&gt; C{Acceptance Valid?}</w:t>
        <w:br/>
        <w:t>C -- No --&gt; D[Reject Service Activation]</w:t>
        <w:br/>
        <w:t>C -- Yes --&gt; E[Send Executed Copy to Client]</w:t>
        <w:br/>
        <w:t>E --&gt; F[Store Acceptance and Copy Evidence]</w:t>
        <w:br/>
        <w:t>F --&gt; G[Retention Tag gte 8 years]</w:t>
        <w:br/>
        <w:t>G --&gt; Z[End]</w:t>
        <w:br/>
        <w:t>D --&gt; Z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Legal</w:t>
            </w:r>
          </w:p>
        </w:tc>
        <w:tc>
          <w:tcPr>
            <w:tcW w:type="dxa" w:w="1234"/>
          </w:tcPr>
          <w:p>
            <w:r>
              <w:t>Product/Ops</w:t>
            </w:r>
          </w:p>
        </w:tc>
        <w:tc>
          <w:tcPr>
            <w:tcW w:type="dxa" w:w="1234"/>
          </w:tcPr>
          <w:p>
            <w:r>
              <w:t>Customer Comms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模板制度与审批门槛定义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条款评审与合法性校验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版本批准与发布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30天通知计划与执行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接受与副本留痕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审计抽检与整改闭环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模板条款清单</w:t>
            </w:r>
          </w:p>
        </w:tc>
        <w:tc>
          <w:tcPr>
            <w:tcW w:type="dxa" w:w="1728"/>
          </w:tcPr>
          <w:p>
            <w:r>
              <w:t>必备字段映射、条款来源、适用范围</w:t>
            </w:r>
          </w:p>
        </w:tc>
        <w:tc>
          <w:tcPr>
            <w:tcW w:type="dxa" w:w="1728"/>
          </w:tcPr>
          <w:p>
            <w:r>
              <w:t>起草/更新时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C1/C7/C10</w:t>
            </w:r>
          </w:p>
        </w:tc>
      </w:tr>
      <w:tr>
        <w:tc>
          <w:tcPr>
            <w:tcW w:type="dxa" w:w="1728"/>
          </w:tcPr>
          <w:p>
            <w:r>
              <w:t>评审与批准记录</w:t>
            </w:r>
          </w:p>
        </w:tc>
        <w:tc>
          <w:tcPr>
            <w:tcW w:type="dxa" w:w="1728"/>
          </w:tcPr>
          <w:p>
            <w:r>
              <w:t>法务意见、合规意见、审批结论</w:t>
            </w:r>
          </w:p>
        </w:tc>
        <w:tc>
          <w:tcPr>
            <w:tcW w:type="dxa" w:w="1728"/>
          </w:tcPr>
          <w:p>
            <w:r>
              <w:t>每次版本发布前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C2/C6/C10</w:t>
            </w:r>
          </w:p>
        </w:tc>
      </w:tr>
      <w:tr>
        <w:tc>
          <w:tcPr>
            <w:tcW w:type="dxa" w:w="1728"/>
          </w:tcPr>
          <w:p>
            <w:r>
              <w:t>版本差异记录（diff）</w:t>
            </w:r>
          </w:p>
        </w:tc>
        <w:tc>
          <w:tcPr>
            <w:tcW w:type="dxa" w:w="1728"/>
          </w:tcPr>
          <w:p>
            <w:r>
              <w:t>旧版/新版差异点与影响说明</w:t>
            </w:r>
          </w:p>
        </w:tc>
        <w:tc>
          <w:tcPr>
            <w:tcW w:type="dxa" w:w="1728"/>
          </w:tcPr>
          <w:p>
            <w:r>
              <w:t>每次变更时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30天通知证据</w:t>
            </w:r>
          </w:p>
        </w:tc>
        <w:tc>
          <w:tcPr>
            <w:tcW w:type="dxa" w:w="1728"/>
          </w:tcPr>
          <w:p>
            <w:r>
              <w:t>通知内容、发送时间、送达证明</w:t>
            </w:r>
          </w:p>
        </w:tc>
        <w:tc>
          <w:tcPr>
            <w:tcW w:type="dxa" w:w="1728"/>
          </w:tcPr>
          <w:p>
            <w:r>
              <w:t>每次重大变更时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C5/C9/C10</w:t>
            </w:r>
          </w:p>
        </w:tc>
      </w:tr>
      <w:tr>
        <w:tc>
          <w:tcPr>
            <w:tcW w:type="dxa" w:w="1728"/>
          </w:tcPr>
          <w:p>
            <w:r>
              <w:t>有效接受与副本发送记录</w:t>
            </w:r>
          </w:p>
        </w:tc>
        <w:tc>
          <w:tcPr>
            <w:tcW w:type="dxa" w:w="1728"/>
          </w:tcPr>
          <w:p>
            <w:r>
              <w:t>接受时间、接受方式、副本送达</w:t>
            </w:r>
          </w:p>
        </w:tc>
        <w:tc>
          <w:tcPr>
            <w:tcW w:type="dxa" w:w="1728"/>
          </w:tcPr>
          <w:p>
            <w:r>
              <w:t>签约时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导出范围、导出人、导出时间、校验值</w:t>
            </w:r>
          </w:p>
        </w:tc>
        <w:tc>
          <w:tcPr>
            <w:tcW w:type="dxa" w:w="1728"/>
          </w:tcPr>
          <w:p>
            <w:r>
              <w:t>抽检时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协议变更通知</w:t>
            </w:r>
          </w:p>
        </w:tc>
        <w:tc>
          <w:tcPr>
            <w:tcW w:type="dxa" w:w="2160"/>
          </w:tcPr>
          <w:p>
            <w:r>
              <w:t>至少提前 30 calendar days 通知客户</w:t>
            </w:r>
          </w:p>
        </w:tc>
        <w:tc>
          <w:tcPr>
            <w:tcW w:type="dxa" w:w="2160"/>
          </w:tcPr>
          <w:p>
            <w:r>
              <w:t>每次变更生效前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签后副本发送</w:t>
            </w:r>
          </w:p>
        </w:tc>
        <w:tc>
          <w:tcPr>
            <w:tcW w:type="dxa" w:w="2160"/>
          </w:tcPr>
          <w:p>
            <w:r>
              <w:t>协议生效后应向客户发送副本</w:t>
            </w:r>
          </w:p>
        </w:tc>
        <w:tc>
          <w:tcPr>
            <w:tcW w:type="dxa" w:w="2160"/>
          </w:tcPr>
          <w:p>
            <w:r>
              <w:t>每次签约后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  <w:tr>
        <w:tc>
          <w:tcPr>
            <w:tcW w:type="dxa" w:w="2160"/>
          </w:tcPr>
          <w:p>
            <w:r>
              <w:t>版本差异可识别</w:t>
            </w:r>
          </w:p>
        </w:tc>
        <w:tc>
          <w:tcPr>
            <w:tcW w:type="dxa" w:w="2160"/>
          </w:tcPr>
          <w:p>
            <w:r>
              <w:t>每次变更必须生成可比对 diff</w:t>
            </w:r>
          </w:p>
        </w:tc>
        <w:tc>
          <w:tcPr>
            <w:tcW w:type="dxa" w:w="2160"/>
          </w:tcPr>
          <w:p>
            <w:r>
              <w:t>每次版本更新</w:t>
            </w:r>
          </w:p>
        </w:tc>
        <w:tc>
          <w:tcPr>
            <w:tcW w:type="dxa" w:w="2160"/>
          </w:tcPr>
          <w:p>
            <w:r>
              <w:t>C6</w:t>
            </w:r>
          </w:p>
        </w:tc>
      </w:tr>
      <w:tr>
        <w:tc>
          <w:tcPr>
            <w:tcW w:type="dxa" w:w="2160"/>
          </w:tcPr>
          <w:p>
            <w:r>
              <w:t>费用条款一致性</w:t>
            </w:r>
          </w:p>
        </w:tc>
        <w:tc>
          <w:tcPr>
            <w:tcW w:type="dxa" w:w="2160"/>
          </w:tcPr>
          <w:p>
            <w:r>
              <w:t>模板费用字段与执行披露口径一致</w:t>
            </w:r>
          </w:p>
        </w:tc>
        <w:tc>
          <w:tcPr>
            <w:tcW w:type="dxa" w:w="2160"/>
          </w:tcPr>
          <w:p>
            <w:r>
              <w:t>每次模板发布</w:t>
            </w:r>
          </w:p>
        </w:tc>
        <w:tc>
          <w:tcPr>
            <w:tcW w:type="dxa" w:w="2160"/>
          </w:tcPr>
          <w:p>
            <w:r>
              <w:t>C7/C8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证据留存 &gt;= 8 years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是否已建立客户协议模板条款基线，并覆盖必备字段？</w:t>
      </w:r>
    </w:p>
    <w:p>
      <w:r>
        <w:t>2. 协议模板是否满足 fair/clear/transparent/not misleading 要求？</w:t>
      </w:r>
    </w:p>
    <w:p>
      <w:r>
        <w:t>3. 每次版本变更是否具备完整 diff 与审批记录？</w:t>
      </w:r>
    </w:p>
    <w:p>
      <w:r>
        <w:t>4. 是否对变更执行了至少 30 天提前通知并保留送达证据？</w:t>
      </w:r>
    </w:p>
    <w:p>
      <w:r>
        <w:t>5. 是否可证明有效接受与签后副本发送已完成？</w:t>
      </w:r>
    </w:p>
    <w:p>
      <w:r>
        <w:t>6. 是否可按监管请求导出版本库与通知全链路证据包？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仅保存最新模板，未维护完整版本历史与差异识别记录。</w:t>
      </w:r>
    </w:p>
    <w:p>
      <w:pPr>
        <w:pStyle w:val="ListBullet"/>
      </w:pPr>
      <w:r>
        <w:t>协议变更通知不足 30 天或通知证据不完整。</w:t>
      </w:r>
    </w:p>
    <w:p>
      <w:pPr>
        <w:pStyle w:val="ListBullet"/>
      </w:pPr>
      <w:r>
        <w:t>模板条款更新后，费用披露字段与执行口径不一致。</w:t>
      </w:r>
    </w:p>
    <w:p>
      <w:pPr>
        <w:pStyle w:val="ListBullet"/>
      </w:pPr>
      <w:r>
        <w:t>未能证明有效接受在提供服务前完成。</w:t>
      </w:r>
    </w:p>
    <w:p>
      <w:pPr>
        <w:pStyle w:val="ListBullet"/>
      </w:pPr>
      <w:r>
        <w:t>副本发送与留存记录缺失，抽检时无法闭环。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