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CAP-003_Audit_Compliance_Guide_v2</w:t>
      </w:r>
    </w:p>
    <w:p>
      <w:pPr>
        <w:jc w:val="center"/>
      </w:pPr>
      <w:r>
        <w:t>协议签署与变更通知控制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CAP-003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Market Conduct Part II; Compliance &amp; Risk Part I.F; Broker-Dealer Part II.A.6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SigningNoticeRecord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agreement_version/acceptance_mode/accepted_at/copy_sent_at/notice_sent_at/effective_date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CAP-003（协议签署与变更通知控制）的监管流程与审计证据要求。</w:t>
      </w:r>
    </w:p>
    <w:p>
      <w:pPr>
        <w:pStyle w:val="ListBullet"/>
      </w:pPr>
      <w:r>
        <w:t>聚焦签署有效性、变更通知时效、签后副本发送与记录留存，不重复 CAP-002 的模板治理细节。</w:t>
      </w:r>
    </w:p>
    <w:p>
      <w:pPr>
        <w:pStyle w:val="ListBullet"/>
      </w:pPr>
      <w:r>
        <w:t>目标是形成“可验证接受 -&gt; 可追溯通知 -&gt; 可抽检留存”的闭环。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"must obtain valid acceptance ... prior to the VASP providing any VA Activities"</w:t>
            </w:r>
          </w:p>
        </w:tc>
        <w:tc>
          <w:tcPr>
            <w:tcW w:type="dxa" w:w="2160"/>
          </w:tcPr>
          <w:p>
            <w:r>
              <w:t>Market Conduct / Part II.A.5 / Rule II.A.5 / p5</w:t>
            </w:r>
          </w:p>
        </w:tc>
        <w:tc>
          <w:tcPr>
            <w:tcW w:type="dxa" w:w="2160"/>
          </w:tcPr>
          <w:p>
            <w:r>
              <w:t>在提供服务前，必须完成有效接受。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"must send a copy of the Client Agreement ... after it has been entered into"</w:t>
            </w:r>
          </w:p>
        </w:tc>
        <w:tc>
          <w:tcPr>
            <w:tcW w:type="dxa" w:w="2160"/>
          </w:tcPr>
          <w:p>
            <w:r>
              <w:t>Market Conduct / Part II.A.6 / Rule II.A.6 / p5</w:t>
            </w:r>
          </w:p>
        </w:tc>
        <w:tc>
          <w:tcPr>
            <w:tcW w:type="dxa" w:w="2160"/>
          </w:tcPr>
          <w:p>
            <w:r>
              <w:t>签约完成后必须向客户发送协议副本。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"must notify clients of any change ... at least thirty (30) calendar days"</w:t>
            </w:r>
          </w:p>
        </w:tc>
        <w:tc>
          <w:tcPr>
            <w:tcW w:type="dxa" w:w="2160"/>
          </w:tcPr>
          <w:p>
            <w:r>
              <w:t>Market Conduct / Part II.A.7 / Rule II.A.7 / p5</w:t>
            </w:r>
          </w:p>
        </w:tc>
        <w:tc>
          <w:tcPr>
            <w:tcW w:type="dxa" w:w="2160"/>
          </w:tcPr>
          <w:p>
            <w:r>
              <w:t>协议变更须至少提前30天通知。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"right ... to unilaterally change a service ... must be made explicit"</w:t>
            </w:r>
          </w:p>
        </w:tc>
        <w:tc>
          <w:tcPr>
            <w:tcW w:type="dxa" w:w="2160"/>
          </w:tcPr>
          <w:p>
            <w:r>
              <w:t>Market Conduct / Part II.A.8 / Rule II.A.8 / p5</w:t>
            </w:r>
          </w:p>
        </w:tc>
        <w:tc>
          <w:tcPr>
            <w:tcW w:type="dxa" w:w="2160"/>
          </w:tcPr>
          <w:p>
            <w:r>
              <w:t>单方变更权必须在协议中明示。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"maintain a record of all versions ... identify all changes"</w:t>
            </w:r>
          </w:p>
        </w:tc>
        <w:tc>
          <w:tcPr>
            <w:tcW w:type="dxa" w:w="2160"/>
          </w:tcPr>
          <w:p>
            <w:r>
              <w:t>Market Conduct / Part II.A.9 / Rule II.A.9 / p5</w:t>
            </w:r>
          </w:p>
        </w:tc>
        <w:tc>
          <w:tcPr>
            <w:tcW w:type="dxa" w:w="2160"/>
          </w:tcPr>
          <w:p>
            <w:r>
              <w:t>版本历史与差异识别必须可追溯。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"methods ... to communicate regarding the services"</w:t>
            </w:r>
          </w:p>
        </w:tc>
        <w:tc>
          <w:tcPr>
            <w:tcW w:type="dxa" w:w="2160"/>
          </w:tcPr>
          <w:p>
            <w:r>
              <w:t>Market Conduct / Part II.B.1(d) / Rule II.B.1 / p5</w:t>
            </w:r>
          </w:p>
        </w:tc>
        <w:tc>
          <w:tcPr>
            <w:tcW w:type="dxa" w:w="2160"/>
          </w:tcPr>
          <w:p>
            <w:r>
              <w:t>协议中需约定沟通机制。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"all fees charged by the VASP for the services"</w:t>
            </w:r>
          </w:p>
        </w:tc>
        <w:tc>
          <w:tcPr>
            <w:tcW w:type="dxa" w:w="2160"/>
          </w:tcPr>
          <w:p>
            <w:r>
              <w:t>Market Conduct / Part II.B.1(e) / Rule II.B.1 / p6</w:t>
            </w:r>
          </w:p>
        </w:tc>
        <w:tc>
          <w:tcPr>
            <w:tcW w:type="dxa" w:w="2160"/>
          </w:tcPr>
          <w:p>
            <w:r>
              <w:t>协议需明确服务收费条款。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"communicate clearly with all affected clients throughout the process"</w:t>
            </w:r>
          </w:p>
        </w:tc>
        <w:tc>
          <w:tcPr>
            <w:tcW w:type="dxa" w:w="2160"/>
          </w:tcPr>
          <w:p>
            <w:r>
              <w:t>Market Conduct / Part II.B.2(b)(ii) / Rule II.B.2 / p6</w:t>
            </w:r>
          </w:p>
        </w:tc>
        <w:tc>
          <w:tcPr>
            <w:tcW w:type="dxa" w:w="2160"/>
          </w:tcPr>
          <w:p>
            <w:r>
              <w:t>遇到资产支持变化等事件需持续清晰沟通。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... records properly ... proper audit trails"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签署/通知流程必须形成审计轨迹。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证据留存期限不少于8年。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协议展示与接受方式确认</w:t>
            </w:r>
          </w:p>
        </w:tc>
        <w:tc>
          <w:tcPr>
            <w:tcW w:type="dxa" w:w="1440"/>
          </w:tcPr>
          <w:p>
            <w:r>
              <w:t>服务前有效接受（C1）</w:t>
            </w:r>
          </w:p>
        </w:tc>
        <w:tc>
          <w:tcPr>
            <w:tcW w:type="dxa" w:w="1440"/>
          </w:tcPr>
          <w:p>
            <w:r>
              <w:t>接受方式合法且可验证</w:t>
            </w:r>
          </w:p>
        </w:tc>
        <w:tc>
          <w:tcPr>
            <w:tcW w:type="dxa" w:w="1440"/>
          </w:tcPr>
          <w:p>
            <w:r>
              <w:t>阻断服务激活</w:t>
            </w:r>
          </w:p>
        </w:tc>
        <w:tc>
          <w:tcPr>
            <w:tcW w:type="dxa" w:w="1440"/>
          </w:tcPr>
          <w:p>
            <w:r>
              <w:t>接受请求记录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有效接受校验</w:t>
            </w:r>
          </w:p>
        </w:tc>
        <w:tc>
          <w:tcPr>
            <w:tcW w:type="dxa" w:w="1440"/>
          </w:tcPr>
          <w:p>
            <w:r>
              <w:t>接受证据完整（C1/C9）</w:t>
            </w:r>
          </w:p>
        </w:tc>
        <w:tc>
          <w:tcPr>
            <w:tcW w:type="dxa" w:w="1440"/>
          </w:tcPr>
          <w:p>
            <w:r>
              <w:t>接受结果可追溯</w:t>
            </w:r>
          </w:p>
        </w:tc>
        <w:tc>
          <w:tcPr>
            <w:tcW w:type="dxa" w:w="1440"/>
          </w:tcPr>
          <w:p>
            <w:r>
              <w:t>补充或重签</w:t>
            </w:r>
          </w:p>
        </w:tc>
        <w:tc>
          <w:tcPr>
            <w:tcW w:type="dxa" w:w="1440"/>
          </w:tcPr>
          <w:p>
            <w:r>
              <w:t>接受日志与校验结果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签后副本发送</w:t>
            </w:r>
          </w:p>
        </w:tc>
        <w:tc>
          <w:tcPr>
            <w:tcW w:type="dxa" w:w="1440"/>
          </w:tcPr>
          <w:p>
            <w:r>
              <w:t>签后向客户发送副本（C2）</w:t>
            </w:r>
          </w:p>
        </w:tc>
        <w:tc>
          <w:tcPr>
            <w:tcW w:type="dxa" w:w="1440"/>
          </w:tcPr>
          <w:p>
            <w:r>
              <w:t>副本送达可证明</w:t>
            </w:r>
          </w:p>
        </w:tc>
        <w:tc>
          <w:tcPr>
            <w:tcW w:type="dxa" w:w="1440"/>
          </w:tcPr>
          <w:p>
            <w:r>
              <w:t>补发并记录原因</w:t>
            </w:r>
          </w:p>
        </w:tc>
        <w:tc>
          <w:tcPr>
            <w:tcW w:type="dxa" w:w="1440"/>
          </w:tcPr>
          <w:p>
            <w:r>
              <w:t>副本发送与送达凭证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变更发起与差异识别</w:t>
            </w:r>
          </w:p>
        </w:tc>
        <w:tc>
          <w:tcPr>
            <w:tcW w:type="dxa" w:w="1440"/>
          </w:tcPr>
          <w:p>
            <w:r>
              <w:t>版本变更可识别（C5）</w:t>
            </w:r>
          </w:p>
        </w:tc>
        <w:tc>
          <w:tcPr>
            <w:tcW w:type="dxa" w:w="1440"/>
          </w:tcPr>
          <w:p>
            <w:r>
              <w:t>diff 完整且可解释</w:t>
            </w:r>
          </w:p>
        </w:tc>
        <w:tc>
          <w:tcPr>
            <w:tcW w:type="dxa" w:w="1440"/>
          </w:tcPr>
          <w:p>
            <w:r>
              <w:t>退回重评</w:t>
            </w:r>
          </w:p>
        </w:tc>
        <w:tc>
          <w:tcPr>
            <w:tcW w:type="dxa" w:w="1440"/>
          </w:tcPr>
          <w:p>
            <w:r>
              <w:t>版本差异报告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30天通知与生效控制</w:t>
            </w:r>
          </w:p>
        </w:tc>
        <w:tc>
          <w:tcPr>
            <w:tcW w:type="dxa" w:w="1440"/>
          </w:tcPr>
          <w:p>
            <w:r>
              <w:t>提前30天通知（C3）</w:t>
            </w:r>
          </w:p>
        </w:tc>
        <w:tc>
          <w:tcPr>
            <w:tcW w:type="dxa" w:w="1440"/>
          </w:tcPr>
          <w:p>
            <w:r>
              <w:t>通知窗口满足要求</w:t>
            </w:r>
          </w:p>
        </w:tc>
        <w:tc>
          <w:tcPr>
            <w:tcW w:type="dxa" w:w="1440"/>
          </w:tcPr>
          <w:p>
            <w:r>
              <w:t>延期生效</w:t>
            </w:r>
          </w:p>
        </w:tc>
        <w:tc>
          <w:tcPr>
            <w:tcW w:type="dxa" w:w="1440"/>
          </w:tcPr>
          <w:p>
            <w:r>
              <w:t>通知计划与送达记录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归档与抽检响应</w:t>
            </w:r>
          </w:p>
        </w:tc>
        <w:tc>
          <w:tcPr>
            <w:tcW w:type="dxa" w:w="1440"/>
          </w:tcPr>
          <w:p>
            <w:r>
              <w:t>审计轨迹+8年留存（C9/C10）</w:t>
            </w:r>
          </w:p>
        </w:tc>
        <w:tc>
          <w:tcPr>
            <w:tcW w:type="dxa" w:w="1440"/>
          </w:tcPr>
          <w:p>
            <w:r>
              <w:t>证据可随时导出</w:t>
            </w:r>
          </w:p>
        </w:tc>
        <w:tc>
          <w:tcPr>
            <w:tcW w:type="dxa" w:w="1440"/>
          </w:tcPr>
          <w:p>
            <w:r>
              <w:t>补录纠偏</w:t>
            </w:r>
          </w:p>
        </w:tc>
        <w:tc>
          <w:tcPr>
            <w:tcW w:type="dxa" w:w="1440"/>
          </w:tcPr>
          <w:p>
            <w:r>
              <w:t>归档台账与导出日志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F-AUD-003-001 — 有效接受门禁流程</w:t>
      </w:r>
    </w:p>
    <w:p>
      <w:r>
        <w:t>requirement_refs: C1/C9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[Agreement Presented] -&gt; [Select Acceptance Mode]</w:t>
        <w:br/>
        <w:t xml:space="preserve"> -&gt; [Validate Acceptance Evidence]</w:t>
        <w:br/>
        <w:t xml:space="preserve"> -&gt; {Valid?}</w:t>
        <w:br/>
        <w:t xml:space="preserve">    No -&gt; [Reject Service Activation] -&gt; [Log Defect]</w:t>
        <w:br/>
        <w:t xml:space="preserve">    Yes -&gt; [Approve Service Activation] -&gt; [Log Acceptance]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A[Agreement Presented] --&gt; B[Select Acceptance Mode]</w:t>
        <w:br/>
        <w:t>B --&gt; C[Validate Acceptance Evidence]</w:t>
        <w:br/>
        <w:t>C --&gt; D{Valid?}</w:t>
        <w:br/>
        <w:t>D -- No --&gt; E[Reject Service Activation]</w:t>
        <w:br/>
        <w:t>E --&gt; F[Log Defect]</w:t>
        <w:br/>
        <w:t>D -- Yes --&gt; G[Approve Service Activation]</w:t>
        <w:br/>
        <w:t>G --&gt; H[Log Acceptance]</w:t>
        <w:br/>
        <w:t>F --&gt; Z[End]</w:t>
        <w:br/>
        <w:t>H --&gt; Z</w:t>
        <w:br/>
        <w:t>```</w:t>
      </w:r>
    </w:p>
    <w:p>
      <w:r>
        <w:rPr>
          <w:b/>
        </w:rPr>
        <w:t>F-AUD-003-002 — 变更通知30天流程</w:t>
      </w:r>
    </w:p>
    <w:p>
      <w:r>
        <w:t>requirement_refs: C3/C5/C8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[Change Request] -&gt; [Generate Version Diff]</w:t>
        <w:br/>
        <w:t xml:space="preserve"> -&gt; [Impact Assessment]</w:t>
        <w:br/>
        <w:t xml:space="preserve"> -&gt; [Issue Notice to Affected Clients]</w:t>
        <w:br/>
        <w:t xml:space="preserve"> -&gt; [Track 30-day Window]</w:t>
        <w:br/>
        <w:t xml:space="preserve"> -&gt; {Window Complete?}</w:t>
        <w:br/>
        <w:t xml:space="preserve">    No -&gt; [Continue Tracking]</w:t>
        <w:br/>
        <w:t xml:space="preserve">    Yes -&gt; [Activate New Terms] -&gt; [Archive Diff + Notice]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A[Change Request] --&gt; B[Generate Version Diff]</w:t>
        <w:br/>
        <w:t>B --&gt; C[Impact Assessment]</w:t>
        <w:br/>
        <w:t>C --&gt; D[Issue Notice to Affected Clients]</w:t>
        <w:br/>
        <w:t>D --&gt; E[Track 30-day Window]</w:t>
        <w:br/>
        <w:t>E --&gt; F{Window Complete?}</w:t>
        <w:br/>
        <w:t>F -- No --&gt; G[Continue Tracking]</w:t>
        <w:br/>
        <w:t>G --&gt; E</w:t>
        <w:br/>
        <w:t>F -- Yes --&gt; H[Activate New Terms]</w:t>
        <w:br/>
        <w:t>H --&gt; I[Archive Diff and Notice]</w:t>
        <w:br/>
        <w:t>```</w:t>
      </w:r>
    </w:p>
    <w:p>
      <w:r>
        <w:rPr>
          <w:b/>
        </w:rPr>
        <w:t>F-AUD-003-003 — 签后副本发送与归档</w:t>
      </w:r>
    </w:p>
    <w:p>
      <w:r>
        <w:t>requirement_refs: C2/C5/C10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[Agreement Executed] -&gt; [Bind Agreement Version]</w:t>
        <w:br/>
        <w:t xml:space="preserve"> -&gt; [Send Copy to Client]</w:t>
        <w:br/>
        <w:t xml:space="preserve"> -&gt; [Confirm Delivery]</w:t>
        <w:br/>
        <w:t xml:space="preserve"> -&gt; {Delivered?}</w:t>
        <w:br/>
        <w:t xml:space="preserve">    No -&gt; [Re-send + Escalate]</w:t>
        <w:br/>
        <w:t xml:space="preserve">    Yes -&gt; [Archive Acceptance+Copy+Version]</w:t>
        <w:br/>
        <w:t xml:space="preserve"> -&gt; [Retention Tag &gt;=8 years]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A[Agreement Executed] --&gt; B[Bind Agreement Version]</w:t>
        <w:br/>
        <w:t>B --&gt; C[Send Copy to Client]</w:t>
        <w:br/>
        <w:t>C --&gt; D[Confirm Delivery]</w:t>
        <w:br/>
        <w:t>D --&gt; E{Delivered?}</w:t>
        <w:br/>
        <w:t>E -- No --&gt; F[Re-send and Escalate]</w:t>
        <w:br/>
        <w:t>F --&gt; D</w:t>
        <w:br/>
        <w:t>E -- Yes --&gt; G[Archive Acceptance Copy and Version]</w:t>
        <w:br/>
        <w:t>G --&gt; H[Retention Tag gte 8 years]</w:t>
        <w:br/>
        <w:t>H --&gt; Z[End]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Legal</w:t>
            </w:r>
          </w:p>
        </w:tc>
        <w:tc>
          <w:tcPr>
            <w:tcW w:type="dxa" w:w="1234"/>
          </w:tcPr>
          <w:p>
            <w:r>
              <w:t>Ops</w:t>
            </w:r>
          </w:p>
        </w:tc>
        <w:tc>
          <w:tcPr>
            <w:tcW w:type="dxa" w:w="1234"/>
          </w:tcPr>
          <w:p>
            <w:r>
              <w:t>Client Service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接受规则定义与更新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签署有效性校验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签后副本发送与确认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变更通知计划与执行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版本差异归档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抽检与整改闭环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接受记录</w:t>
            </w:r>
          </w:p>
        </w:tc>
        <w:tc>
          <w:tcPr>
            <w:tcW w:type="dxa" w:w="1728"/>
          </w:tcPr>
          <w:p>
            <w:r>
              <w:t>协议版本、接受方式、接受时间、接受主体</w:t>
            </w:r>
          </w:p>
        </w:tc>
        <w:tc>
          <w:tcPr>
            <w:tcW w:type="dxa" w:w="1728"/>
          </w:tcPr>
          <w:p>
            <w:r>
              <w:t>每次签署前后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C1/C9/C10</w:t>
            </w:r>
          </w:p>
        </w:tc>
      </w:tr>
      <w:tr>
        <w:tc>
          <w:tcPr>
            <w:tcW w:type="dxa" w:w="1728"/>
          </w:tcPr>
          <w:p>
            <w:r>
              <w:t>副本发送记录</w:t>
            </w:r>
          </w:p>
        </w:tc>
        <w:tc>
          <w:tcPr>
            <w:tcW w:type="dxa" w:w="1728"/>
          </w:tcPr>
          <w:p>
            <w:r>
              <w:t>发送渠道、发送时间、送达状态</w:t>
            </w:r>
          </w:p>
        </w:tc>
        <w:tc>
          <w:tcPr>
            <w:tcW w:type="dxa" w:w="1728"/>
          </w:tcPr>
          <w:p>
            <w:r>
              <w:t>每次签约后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C2/C10</w:t>
            </w:r>
          </w:p>
        </w:tc>
      </w:tr>
      <w:tr>
        <w:tc>
          <w:tcPr>
            <w:tcW w:type="dxa" w:w="1728"/>
          </w:tcPr>
          <w:p>
            <w:r>
              <w:t>版本差异记录</w:t>
            </w:r>
          </w:p>
        </w:tc>
        <w:tc>
          <w:tcPr>
            <w:tcW w:type="dxa" w:w="1728"/>
          </w:tcPr>
          <w:p>
            <w:r>
              <w:t>旧版/新版差异与影响说明</w:t>
            </w:r>
          </w:p>
        </w:tc>
        <w:tc>
          <w:tcPr>
            <w:tcW w:type="dxa" w:w="1728"/>
          </w:tcPr>
          <w:p>
            <w:r>
              <w:t>每次变更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C5/C10</w:t>
            </w:r>
          </w:p>
        </w:tc>
      </w:tr>
      <w:tr>
        <w:tc>
          <w:tcPr>
            <w:tcW w:type="dxa" w:w="1728"/>
          </w:tcPr>
          <w:p>
            <w:r>
              <w:t>30天通知证据</w:t>
            </w:r>
          </w:p>
        </w:tc>
        <w:tc>
          <w:tcPr>
            <w:tcW w:type="dxa" w:w="1728"/>
          </w:tcPr>
          <w:p>
            <w:r>
              <w:t>通知对象、发送时间、生效时间</w:t>
            </w:r>
          </w:p>
        </w:tc>
        <w:tc>
          <w:tcPr>
            <w:tcW w:type="dxa" w:w="1728"/>
          </w:tcPr>
          <w:p>
            <w:r>
              <w:t>每次变更生效前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C3/C8/C10</w:t>
            </w:r>
          </w:p>
        </w:tc>
      </w:tr>
      <w:tr>
        <w:tc>
          <w:tcPr>
            <w:tcW w:type="dxa" w:w="1728"/>
          </w:tcPr>
          <w:p>
            <w:r>
              <w:t>单方变更权条款证据</w:t>
            </w:r>
          </w:p>
        </w:tc>
        <w:tc>
          <w:tcPr>
            <w:tcW w:type="dxa" w:w="1728"/>
          </w:tcPr>
          <w:p>
            <w:r>
              <w:t>条款位置、客户可读性说明</w:t>
            </w:r>
          </w:p>
        </w:tc>
        <w:tc>
          <w:tcPr>
            <w:tcW w:type="dxa" w:w="1728"/>
          </w:tcPr>
          <w:p>
            <w:r>
              <w:t>条款发布时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C4/C10</w:t>
            </w:r>
          </w:p>
        </w:tc>
      </w:tr>
      <w:tr>
        <w:tc>
          <w:tcPr>
            <w:tcW w:type="dxa" w:w="1728"/>
          </w:tcPr>
          <w:p>
            <w:r>
              <w:t>抽检导出记录</w:t>
            </w:r>
          </w:p>
        </w:tc>
        <w:tc>
          <w:tcPr>
            <w:tcW w:type="dxa" w:w="1728"/>
          </w:tcPr>
          <w:p>
            <w:r>
              <w:t>导出范围、导出人、导出时间</w:t>
            </w:r>
          </w:p>
        </w:tc>
        <w:tc>
          <w:tcPr>
            <w:tcW w:type="dxa" w:w="1728"/>
          </w:tcPr>
          <w:p>
            <w:r>
              <w:t>监管抽检时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有效接受门禁</w:t>
            </w:r>
          </w:p>
        </w:tc>
        <w:tc>
          <w:tcPr>
            <w:tcW w:type="dxa" w:w="2160"/>
          </w:tcPr>
          <w:p>
            <w:r>
              <w:t>必须在提供服务前完成有效接受</w:t>
            </w:r>
          </w:p>
        </w:tc>
        <w:tc>
          <w:tcPr>
            <w:tcW w:type="dxa" w:w="2160"/>
          </w:tcPr>
          <w:p>
            <w:r>
              <w:t>每次签署/服务开通前</w:t>
            </w:r>
          </w:p>
        </w:tc>
        <w:tc>
          <w:tcPr>
            <w:tcW w:type="dxa" w:w="2160"/>
          </w:tcPr>
          <w:p>
            <w:r>
              <w:t>C1</w:t>
            </w:r>
          </w:p>
        </w:tc>
      </w:tr>
      <w:tr>
        <w:tc>
          <w:tcPr>
            <w:tcW w:type="dxa" w:w="2160"/>
          </w:tcPr>
          <w:p>
            <w:r>
              <w:t>签后副本发送</w:t>
            </w:r>
          </w:p>
        </w:tc>
        <w:tc>
          <w:tcPr>
            <w:tcW w:type="dxa" w:w="2160"/>
          </w:tcPr>
          <w:p>
            <w:r>
              <w:t>签约完成后发送协议副本</w:t>
            </w:r>
          </w:p>
        </w:tc>
        <w:tc>
          <w:tcPr>
            <w:tcW w:type="dxa" w:w="2160"/>
          </w:tcPr>
          <w:p>
            <w:r>
              <w:t>每次签约后</w:t>
            </w:r>
          </w:p>
        </w:tc>
        <w:tc>
          <w:tcPr>
            <w:tcW w:type="dxa" w:w="2160"/>
          </w:tcPr>
          <w:p>
            <w:r>
              <w:t>C2</w:t>
            </w:r>
          </w:p>
        </w:tc>
      </w:tr>
      <w:tr>
        <w:tc>
          <w:tcPr>
            <w:tcW w:type="dxa" w:w="2160"/>
          </w:tcPr>
          <w:p>
            <w:r>
              <w:t>变更通知窗口</w:t>
            </w:r>
          </w:p>
        </w:tc>
        <w:tc>
          <w:tcPr>
            <w:tcW w:type="dxa" w:w="2160"/>
          </w:tcPr>
          <w:p>
            <w:r>
              <w:t>至少提前 30 calendar days 通知</w:t>
            </w:r>
          </w:p>
        </w:tc>
        <w:tc>
          <w:tcPr>
            <w:tcW w:type="dxa" w:w="2160"/>
          </w:tcPr>
          <w:p>
            <w:r>
              <w:t>每次条款变更前</w:t>
            </w:r>
          </w:p>
        </w:tc>
        <w:tc>
          <w:tcPr>
            <w:tcW w:type="dxa" w:w="2160"/>
          </w:tcPr>
          <w:p>
            <w:r>
              <w:t>C3</w:t>
            </w:r>
          </w:p>
        </w:tc>
      </w:tr>
      <w:tr>
        <w:tc>
          <w:tcPr>
            <w:tcW w:type="dxa" w:w="2160"/>
          </w:tcPr>
          <w:p>
            <w:r>
              <w:t>版本差异可识别</w:t>
            </w:r>
          </w:p>
        </w:tc>
        <w:tc>
          <w:tcPr>
            <w:tcW w:type="dxa" w:w="2160"/>
          </w:tcPr>
          <w:p>
            <w:r>
              <w:t>每次变更必须可识别差异</w:t>
            </w:r>
          </w:p>
        </w:tc>
        <w:tc>
          <w:tcPr>
            <w:tcW w:type="dxa" w:w="2160"/>
          </w:tcPr>
          <w:p>
            <w:r>
              <w:t>每次版本更新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所有关键记录保留 &gt;= 8 years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是否能够证明所有客户在服务前已完成有效接受？</w:t>
      </w:r>
    </w:p>
    <w:p>
      <w:r>
        <w:t>2. 是否每次签约后都可追溯副本发送与送达？</w:t>
      </w:r>
    </w:p>
    <w:p>
      <w:r>
        <w:t>3. 是否每次条款变更都保留版本差异与审批记录？</w:t>
      </w:r>
    </w:p>
    <w:p>
      <w:r>
        <w:t>4. 是否每次变更都满足提前30天通知要求？</w:t>
      </w:r>
    </w:p>
    <w:p>
      <w:r>
        <w:t>5. 是否单方变更权条款在协议中已明确且可定位？</w:t>
      </w:r>
    </w:p>
    <w:p>
      <w:r>
        <w:t>6. 是否可按监管请求快速导出签署-通知-归档全链路证据？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服务已开通但未形成可验证的有效接受记录。</w:t>
      </w:r>
    </w:p>
    <w:p>
      <w:pPr>
        <w:pStyle w:val="ListBullet"/>
      </w:pPr>
      <w:r>
        <w:t>签后副本发送缺少送达证明或发送时间不可追溯。</w:t>
      </w:r>
    </w:p>
    <w:p>
      <w:pPr>
        <w:pStyle w:val="ListBullet"/>
      </w:pPr>
      <w:r>
        <w:t>条款变更没有保留版本差异，无法说明改动内容。</w:t>
      </w:r>
    </w:p>
    <w:p>
      <w:pPr>
        <w:pStyle w:val="ListBullet"/>
      </w:pPr>
      <w:r>
        <w:t>未满足至少30天提前通知却提前生效。</w:t>
      </w:r>
    </w:p>
    <w:p>
      <w:pPr>
        <w:pStyle w:val="ListBullet"/>
      </w:pPr>
      <w:r>
        <w:t>关键证据留存不足8年，抽检时无法闭环。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