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CAP-004_Audit_Compliance_Guide_v2</w:t>
      </w:r>
    </w:p>
    <w:p>
      <w:pPr>
        <w:jc w:val="center"/>
      </w:pPr>
      <w:r>
        <w:t>CDD/KYB/UBO 核验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CAP-004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CDD/KYB/UBO 核验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CR Part III.D/III.E/III.I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CAP-004 在客户接入阶段的 CDD/KYB/UBO 核验要求。</w:t>
      </w:r>
    </w:p>
    <w:p>
      <w:pPr>
        <w:pStyle w:val="ListBullet"/>
      </w:pPr>
      <w:r>
        <w:t>聚焦风险导向 CDD、身份核验、无法完成 CDD 时的阻断控制与记录留存。</w:t>
      </w:r>
    </w:p>
    <w:p>
      <w:pPr>
        <w:pStyle w:val="ListBullet"/>
      </w:pPr>
      <w:r>
        <w:t>与 CAP-005/006 的边界：CAP-004 负责“基础核验与可建立关系判定”。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"Client risk assessments ... carried out at regular intervals no less than annually"</w:t>
            </w:r>
          </w:p>
        </w:tc>
        <w:tc>
          <w:tcPr>
            <w:tcW w:type="dxa" w:w="2160"/>
          </w:tcPr>
          <w:p>
            <w:r>
              <w:t>CR / Part III.D.8 / Rule III.D.8 / p28</w:t>
            </w:r>
          </w:p>
        </w:tc>
        <w:tc>
          <w:tcPr>
            <w:tcW w:type="dxa" w:w="2160"/>
          </w:tcPr>
          <w:p>
            <w:r>
              <w:t>客户风险评估需至少年度复评。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"adopt a risk-based application of CDD measures"</w:t>
            </w:r>
          </w:p>
        </w:tc>
        <w:tc>
          <w:tcPr>
            <w:tcW w:type="dxa" w:w="2160"/>
          </w:tcPr>
          <w:p>
            <w:r>
              <w:t>CR / Part III.E.1 / Rule III.E.1 / p28</w:t>
            </w:r>
          </w:p>
        </w:tc>
        <w:tc>
          <w:tcPr>
            <w:tcW w:type="dxa" w:w="2160"/>
          </w:tcPr>
          <w:p>
            <w:r>
              <w:t>CDD 应按风险导向执行。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"verify the identity of the client and the UBO(s)"</w:t>
            </w:r>
          </w:p>
        </w:tc>
        <w:tc>
          <w:tcPr>
            <w:tcW w:type="dxa" w:w="2160"/>
          </w:tcPr>
          <w:p>
            <w:r>
              <w:t>CR / Part III.E.3 / Rule III.E.3 / p28</w:t>
            </w:r>
          </w:p>
        </w:tc>
        <w:tc>
          <w:tcPr>
            <w:tcW w:type="dxa" w:w="2160"/>
          </w:tcPr>
          <w:p>
            <w:r>
              <w:t>必须核验客户与 UBO 身份。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"If a VASP is unable to conduct appropriate CDD ... it shall not ..."</w:t>
            </w:r>
          </w:p>
        </w:tc>
        <w:tc>
          <w:tcPr>
            <w:tcW w:type="dxa" w:w="2160"/>
          </w:tcPr>
          <w:p>
            <w:r>
              <w:t>CR / Part III.E.8 / Rule III.E.8 / p30</w:t>
            </w:r>
          </w:p>
        </w:tc>
        <w:tc>
          <w:tcPr>
            <w:tcW w:type="dxa" w:w="2160"/>
          </w:tcPr>
          <w:p>
            <w:r>
              <w:t>无法完成 CDD 时不得建立/继续关系。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"retain all records ... for ... no less than eight (8) years"</w:t>
            </w:r>
          </w:p>
        </w:tc>
        <w:tc>
          <w:tcPr>
            <w:tcW w:type="dxa" w:w="2160"/>
          </w:tcPr>
          <w:p>
            <w:r>
              <w:t>CR / Part III.I.2 / Rule III.I.2 / p36</w:t>
            </w:r>
          </w:p>
        </w:tc>
        <w:tc>
          <w:tcPr>
            <w:tcW w:type="dxa" w:w="2160"/>
          </w:tcPr>
          <w:p>
            <w:r>
              <w:t>CDD 记录保留不少于8年。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收集客户与UBO资料</w:t>
            </w:r>
          </w:p>
        </w:tc>
        <w:tc>
          <w:tcPr>
            <w:tcW w:type="dxa" w:w="1440"/>
          </w:tcPr>
          <w:p>
            <w:r>
              <w:t>风险导向 CDD 输入完整（C2/C3）</w:t>
            </w:r>
          </w:p>
        </w:tc>
        <w:tc>
          <w:tcPr>
            <w:tcW w:type="dxa" w:w="1440"/>
          </w:tcPr>
          <w:p>
            <w:r>
              <w:t>资料完整可核验</w:t>
            </w:r>
          </w:p>
        </w:tc>
        <w:tc>
          <w:tcPr>
            <w:tcW w:type="dxa" w:w="1440"/>
          </w:tcPr>
          <w:p>
            <w:r>
              <w:t>退回补件</w:t>
            </w:r>
          </w:p>
        </w:tc>
        <w:tc>
          <w:tcPr>
            <w:tcW w:type="dxa" w:w="1440"/>
          </w:tcPr>
          <w:p>
            <w:r>
              <w:t>KYC/KYB/UBO资料包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身份与UBO核验</w:t>
            </w:r>
          </w:p>
        </w:tc>
        <w:tc>
          <w:tcPr>
            <w:tcW w:type="dxa" w:w="1440"/>
          </w:tcPr>
          <w:p>
            <w:r>
              <w:t>客户与UBO身份核验（C3）</w:t>
            </w:r>
          </w:p>
        </w:tc>
        <w:tc>
          <w:tcPr>
            <w:tcW w:type="dxa" w:w="1440"/>
          </w:tcPr>
          <w:p>
            <w:r>
              <w:t>核验通过且可追溯</w:t>
            </w:r>
          </w:p>
        </w:tc>
        <w:tc>
          <w:tcPr>
            <w:tcW w:type="dxa" w:w="1440"/>
          </w:tcPr>
          <w:p>
            <w:r>
              <w:t>中止开户</w:t>
            </w:r>
          </w:p>
        </w:tc>
        <w:tc>
          <w:tcPr>
            <w:tcW w:type="dxa" w:w="1440"/>
          </w:tcPr>
          <w:p>
            <w:r>
              <w:t>核验日志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CDD充分性判定</w:t>
            </w:r>
          </w:p>
        </w:tc>
        <w:tc>
          <w:tcPr>
            <w:tcW w:type="dxa" w:w="1440"/>
          </w:tcPr>
          <w:p>
            <w:r>
              <w:t>无法完成CDD不得建立关系（C4）</w:t>
            </w:r>
          </w:p>
        </w:tc>
        <w:tc>
          <w:tcPr>
            <w:tcW w:type="dxa" w:w="1440"/>
          </w:tcPr>
          <w:p>
            <w:r>
              <w:t>CDD充分可决策</w:t>
            </w:r>
          </w:p>
        </w:tc>
        <w:tc>
          <w:tcPr>
            <w:tcW w:type="dxa" w:w="1440"/>
          </w:tcPr>
          <w:p>
            <w:r>
              <w:t>阻断关系建立</w:t>
            </w:r>
          </w:p>
        </w:tc>
        <w:tc>
          <w:tcPr>
            <w:tcW w:type="dxa" w:w="1440"/>
          </w:tcPr>
          <w:p>
            <w:r>
              <w:t>充分性判定记录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持续更新机制</w:t>
            </w:r>
          </w:p>
        </w:tc>
        <w:tc>
          <w:tcPr>
            <w:tcW w:type="dxa" w:w="1440"/>
          </w:tcPr>
          <w:p>
            <w:r>
              <w:t>高风险资料定期更新（C1）</w:t>
            </w:r>
          </w:p>
        </w:tc>
        <w:tc>
          <w:tcPr>
            <w:tcW w:type="dxa" w:w="1440"/>
          </w:tcPr>
          <w:p>
            <w:r>
              <w:t>更新周期符合要求</w:t>
            </w:r>
          </w:p>
        </w:tc>
        <w:tc>
          <w:tcPr>
            <w:tcW w:type="dxa" w:w="1440"/>
          </w:tcPr>
          <w:p>
            <w:r>
              <w:t>升级复审</w:t>
            </w:r>
          </w:p>
        </w:tc>
        <w:tc>
          <w:tcPr>
            <w:tcW w:type="dxa" w:w="1440"/>
          </w:tcPr>
          <w:p>
            <w:r>
              <w:t>更新记录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归档与留存</w:t>
            </w:r>
          </w:p>
        </w:tc>
        <w:tc>
          <w:tcPr>
            <w:tcW w:type="dxa" w:w="1440"/>
          </w:tcPr>
          <w:p>
            <w:r>
              <w:t>CDD记录&gt;=8年（C5）</w:t>
            </w:r>
          </w:p>
        </w:tc>
        <w:tc>
          <w:tcPr>
            <w:tcW w:type="dxa" w:w="1440"/>
          </w:tcPr>
          <w:p>
            <w:r>
              <w:t>可导出可抽检</w:t>
            </w:r>
          </w:p>
        </w:tc>
        <w:tc>
          <w:tcPr>
            <w:tcW w:type="dxa" w:w="1440"/>
          </w:tcPr>
          <w:p>
            <w:r>
              <w:t>补录纠偏</w:t>
            </w:r>
          </w:p>
        </w:tc>
        <w:tc>
          <w:tcPr>
            <w:tcW w:type="dxa" w:w="1440"/>
          </w:tcPr>
          <w:p>
            <w:r>
              <w:t>归档台账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F-AUD-004-001 — 客户与UBO基础核验流程</w:t>
      </w:r>
    </w:p>
    <w:p>
      <w:r>
        <w:t>requirement_refs: C2/C3/C4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[Collect KYC/KYB/UBO Docs] -&gt; [Verify Identity]</w:t>
        <w:br/>
        <w:t xml:space="preserve"> -&gt; {CDD Sufficient?}</w:t>
        <w:br/>
        <w:t xml:space="preserve">   No -&gt; [Reject/Block Relationship]</w:t>
        <w:br/>
        <w:t xml:space="preserve">   Yes -&gt; [Proceed to Risk Scoring] -&gt; [Archive Evidence]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B[Collect KYC KYB UBO Docs]</w:t>
        <w:br/>
        <w:t>B --&gt; C[Verify Identity]</w:t>
        <w:br/>
        <w:t>C --&gt; D{CDD Sufficient?}</w:t>
        <w:br/>
        <w:t>D -- No --&gt; E[Reject or Block Relationship]</w:t>
        <w:br/>
        <w:t>D -- Yes --&gt; F[Proceed to Risk Scoring]</w:t>
        <w:br/>
        <w:t>F --&gt; G[Archive Evidence]</w:t>
        <w:br/>
        <w:t>G --&gt; Z[End]</w:t>
        <w:br/>
        <w:t>E --&gt; Z</w:t>
        <w:br/>
        <w:t>```</w:t>
      </w:r>
    </w:p>
    <w:p>
      <w:r>
        <w:rPr>
          <w:b/>
        </w:rPr>
        <w:t>F-AUD-004-002 — 无法完成CDD时阻断流程</w:t>
      </w:r>
    </w:p>
    <w:p>
      <w:r>
        <w:t>requirement_refs: C4/C5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[CDD Attempt] -&gt; [Missing/Unverifiable Data]</w:t>
        <w:br/>
        <w:t xml:space="preserve"> -&gt; [Escalate for Review]</w:t>
        <w:br/>
        <w:t xml:space="preserve"> -&gt; {Remediable?}</w:t>
        <w:br/>
        <w:t xml:space="preserve">   No -&gt; [Block Onboarding]</w:t>
        <w:br/>
        <w:t xml:space="preserve">   Yes -&gt; [Request Additional Evidence]</w:t>
        <w:br/>
        <w:t xml:space="preserve"> -&gt; [Decision + Log] -&gt; [Retention &gt;=8y]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A[CDD Attempt] --&gt; B[Missing or Unverifiable Data]</w:t>
        <w:br/>
        <w:t>B --&gt; C[Escalate for Review]</w:t>
        <w:br/>
        <w:t>C --&gt; D{Remediable?}</w:t>
        <w:br/>
        <w:t>D -- No --&gt; E[Block Onboarding]</w:t>
        <w:br/>
        <w:t>D -- Yes --&gt; F[Request Additional Evidence]</w:t>
        <w:br/>
        <w:t>E --&gt; G[Decision and Log]</w:t>
        <w:br/>
        <w:t>F --&gt; G</w:t>
        <w:br/>
        <w:t>G --&gt; H[Retention gte 8y]</w:t>
        <w:br/>
        <w:t>```</w:t>
      </w:r>
    </w:p>
    <w:p>
      <w:r>
        <w:rPr>
          <w:b/>
        </w:rPr>
        <w:t>F-AUD-004-003 — CDD记录归档与抽检流程</w:t>
      </w:r>
    </w:p>
    <w:p>
      <w:r>
        <w:t>requirement_refs: C1/C5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[CDD Completed] -&gt; [Tag Risk Category]</w:t>
        <w:br/>
        <w:t xml:space="preserve"> -&gt; [Store Documents + Decision Trail]</w:t>
        <w:br/>
        <w:t xml:space="preserve"> -&gt; [Periodic Review Trigger]</w:t>
        <w:br/>
        <w:t xml:space="preserve"> -&gt; [Export for Audit if Requested]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A[CDD Completed] --&gt; B[Tag Risk Category]</w:t>
        <w:br/>
        <w:t>B --&gt; C[Store Documents and Decision Trail]</w:t>
        <w:br/>
        <w:t>C --&gt; D[Periodic Review Trigger]</w:t>
        <w:br/>
        <w:t>D --&gt; E[Export for Audit if Requested]</w:t>
        <w:br/>
        <w:t>E --&gt; Z[End]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CDD标准定义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客户与UBO核验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无法CDD阻断决策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年度复评触发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证据留存与抽检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身份核验记录</w:t>
            </w:r>
          </w:p>
        </w:tc>
        <w:tc>
          <w:tcPr>
            <w:tcW w:type="dxa" w:w="1728"/>
          </w:tcPr>
          <w:p>
            <w:r>
              <w:t>客户/UBO核验结果与时间戳</w:t>
            </w:r>
          </w:p>
        </w:tc>
        <w:tc>
          <w:tcPr>
            <w:tcW w:type="dxa" w:w="1728"/>
          </w:tcPr>
          <w:p>
            <w:r>
              <w:t>开户前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C3/C5</w:t>
            </w:r>
          </w:p>
        </w:tc>
      </w:tr>
      <w:tr>
        <w:tc>
          <w:tcPr>
            <w:tcW w:type="dxa" w:w="1728"/>
          </w:tcPr>
          <w:p>
            <w:r>
              <w:t>CDD充分性记录</w:t>
            </w:r>
          </w:p>
        </w:tc>
        <w:tc>
          <w:tcPr>
            <w:tcW w:type="dxa" w:w="1728"/>
          </w:tcPr>
          <w:p>
            <w:r>
              <w:t>充分/不充分结论与原因</w:t>
            </w:r>
          </w:p>
        </w:tc>
        <w:tc>
          <w:tcPr>
            <w:tcW w:type="dxa" w:w="1728"/>
          </w:tcPr>
          <w:p>
            <w:r>
              <w:t>核验后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C4/C5</w:t>
            </w:r>
          </w:p>
        </w:tc>
      </w:tr>
      <w:tr>
        <w:tc>
          <w:tcPr>
            <w:tcW w:type="dxa" w:w="1728"/>
          </w:tcPr>
          <w:p>
            <w:r>
              <w:t>补件与升级记录</w:t>
            </w:r>
          </w:p>
        </w:tc>
        <w:tc>
          <w:tcPr>
            <w:tcW w:type="dxa" w:w="1728"/>
          </w:tcPr>
          <w:p>
            <w:r>
              <w:t>补件请求与升级链路</w:t>
            </w:r>
          </w:p>
        </w:tc>
        <w:tc>
          <w:tcPr>
            <w:tcW w:type="dxa" w:w="1728"/>
          </w:tcPr>
          <w:p>
            <w:r>
              <w:t>异常时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C4/C5</w:t>
            </w:r>
          </w:p>
        </w:tc>
      </w:tr>
      <w:tr>
        <w:tc>
          <w:tcPr>
            <w:tcW w:type="dxa" w:w="1728"/>
          </w:tcPr>
          <w:p>
            <w:r>
              <w:t>风险分类标签</w:t>
            </w:r>
          </w:p>
        </w:tc>
        <w:tc>
          <w:tcPr>
            <w:tcW w:type="dxa" w:w="1728"/>
          </w:tcPr>
          <w:p>
            <w:r>
              <w:t>风险等级与复评计划</w:t>
            </w:r>
          </w:p>
        </w:tc>
        <w:tc>
          <w:tcPr>
            <w:tcW w:type="dxa" w:w="1728"/>
          </w:tcPr>
          <w:p>
            <w:r>
              <w:t>判定时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C1/C5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客户与UBO核验</w:t>
            </w:r>
          </w:p>
        </w:tc>
        <w:tc>
          <w:tcPr>
            <w:tcW w:type="dxa" w:w="2160"/>
          </w:tcPr>
          <w:p>
            <w:r>
              <w:t>关系建立前完成</w:t>
            </w:r>
          </w:p>
        </w:tc>
        <w:tc>
          <w:tcPr>
            <w:tcW w:type="dxa" w:w="2160"/>
          </w:tcPr>
          <w:p>
            <w:r>
              <w:t>每次开户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  <w:tr>
        <w:tc>
          <w:tcPr>
            <w:tcW w:type="dxa" w:w="2160"/>
          </w:tcPr>
          <w:p>
            <w:r>
              <w:t>无法CDD阻断</w:t>
            </w:r>
          </w:p>
        </w:tc>
        <w:tc>
          <w:tcPr>
            <w:tcW w:type="dxa" w:w="2160"/>
          </w:tcPr>
          <w:p>
            <w:r>
              <w:t>即时阻断</w:t>
            </w:r>
          </w:p>
        </w:tc>
        <w:tc>
          <w:tcPr>
            <w:tcW w:type="dxa" w:w="2160"/>
          </w:tcPr>
          <w:p>
            <w:r>
              <w:t>每次触发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  <w:tr>
        <w:tc>
          <w:tcPr>
            <w:tcW w:type="dxa" w:w="2160"/>
          </w:tcPr>
          <w:p>
            <w:r>
              <w:t>风险复评</w:t>
            </w:r>
          </w:p>
        </w:tc>
        <w:tc>
          <w:tcPr>
            <w:tcW w:type="dxa" w:w="2160"/>
          </w:tcPr>
          <w:p>
            <w:r>
              <w:t>至少年度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是否可证明客户与UBO身份核验已完成？</w:t>
      </w:r>
    </w:p>
    <w:p>
      <w:r>
        <w:t>2. 是否存在未完成CDD仍继续关系的例外？</w:t>
      </w:r>
    </w:p>
    <w:p>
      <w:r>
        <w:t>3. 是否对不充分CDD做了阻断并留痕？</w:t>
      </w:r>
    </w:p>
    <w:p>
      <w:r>
        <w:t>4. 是否定义并执行了年度复评机制？</w:t>
      </w:r>
    </w:p>
    <w:p>
      <w:r>
        <w:t>5. 是否能导出完整CDD证据包？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仅核验客户身份，未核验UBO。</w:t>
      </w:r>
    </w:p>
    <w:p>
      <w:pPr>
        <w:pStyle w:val="ListBullet"/>
      </w:pPr>
      <w:r>
        <w:t>CDD不充分却继续提供服务。</w:t>
      </w:r>
    </w:p>
    <w:p>
      <w:pPr>
        <w:pStyle w:val="ListBullet"/>
      </w:pPr>
      <w:r>
        <w:t>风险标签无复评计划。</w:t>
      </w:r>
    </w:p>
    <w:p>
      <w:pPr>
        <w:pStyle w:val="ListBullet"/>
      </w:pPr>
      <w:r>
        <w:t>证据链缺失导致抽检不可回放。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