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CAP-006_Audit_Compliance_Guide_v2</w:t>
      </w:r>
    </w:p>
    <w:p>
      <w:pPr>
        <w:jc w:val="center"/>
      </w:pPr>
      <w:r>
        <w:t>高风险 EDD 与管理审批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CAP-006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高风险 EDD 与管理审批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CR Part III.E.6-10 / III.D / III.I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本文件定义高风险客户 EDD 与管理审批机制。</w:t>
      </w:r>
    </w:p>
    <w:p>
      <w:pPr>
        <w:pStyle w:val="ListBullet"/>
      </w:pPr>
      <w:r>
        <w:t>聚焦高风险判定、PEP 场景、SOF/SOW 核验、Senior Management 审批与留痕。</w:t>
      </w:r>
    </w:p>
    <w:p>
      <w:pPr>
        <w:pStyle w:val="ListBullet"/>
      </w:pPr>
      <w:r>
        <w:t>与 CAP-004/005 边界：CAP-006 是高风险升级控制。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"high-risk clients ..."</w:t>
            </w:r>
          </w:p>
        </w:tc>
        <w:tc>
          <w:tcPr>
            <w:tcW w:type="dxa" w:w="2160"/>
          </w:tcPr>
          <w:p>
            <w:r>
              <w:t>CR / Part III.E.4(e) / Rule III.E.4(e) / p29</w:t>
            </w:r>
          </w:p>
        </w:tc>
        <w:tc>
          <w:tcPr>
            <w:tcW w:type="dxa" w:w="2160"/>
          </w:tcPr>
          <w:p>
            <w:r>
              <w:t>高风险客户交易需强化控制。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"if the client is a Politically Exposed Person, approval from the MLRO ..."</w:t>
            </w:r>
          </w:p>
        </w:tc>
        <w:tc>
          <w:tcPr>
            <w:tcW w:type="dxa" w:w="2160"/>
          </w:tcPr>
          <w:p>
            <w:r>
              <w:t>CR / Part III.E.6(a)(vi) / Rule III.E.6 / p29</w:t>
            </w:r>
          </w:p>
        </w:tc>
        <w:tc>
          <w:tcPr>
            <w:tcW w:type="dxa" w:w="2160"/>
          </w:tcPr>
          <w:p>
            <w:r>
              <w:t>PEP 客户需 MLRO 与高级管理审批。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"if the UBO is a Politically Exposed Person, approval ..."</w:t>
            </w:r>
          </w:p>
        </w:tc>
        <w:tc>
          <w:tcPr>
            <w:tcW w:type="dxa" w:w="2160"/>
          </w:tcPr>
          <w:p>
            <w:r>
              <w:t>CR / Part III.E.7(d)(vi) / Rule III.E.7 / p30</w:t>
            </w:r>
          </w:p>
        </w:tc>
        <w:tc>
          <w:tcPr>
            <w:tcW w:type="dxa" w:w="2160"/>
          </w:tcPr>
          <w:p>
            <w:r>
              <w:t>PEP UBO 场景同样需审批。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"Enhanced CDD ... additional identification ... source of funds ... source of wealth"</w:t>
            </w:r>
          </w:p>
        </w:tc>
        <w:tc>
          <w:tcPr>
            <w:tcW w:type="dxa" w:w="2160"/>
          </w:tcPr>
          <w:p>
            <w:r>
              <w:t>CR / Part III.E.10 / Rule III.E.10 / p31</w:t>
            </w:r>
          </w:p>
        </w:tc>
        <w:tc>
          <w:tcPr>
            <w:tcW w:type="dxa" w:w="2160"/>
          </w:tcPr>
          <w:p>
            <w:r>
              <w:t>高风险客户需执行 EDD 并核验资金/财富来源。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"obtain the approval of Senior Management to commence a business relationship"</w:t>
            </w:r>
          </w:p>
        </w:tc>
        <w:tc>
          <w:tcPr>
            <w:tcW w:type="dxa" w:w="2160"/>
          </w:tcPr>
          <w:p>
            <w:r>
              <w:t>CR / Part III.E.10(e) / Rule III.E.10(e) / p31</w:t>
            </w:r>
          </w:p>
        </w:tc>
        <w:tc>
          <w:tcPr>
            <w:tcW w:type="dxa" w:w="2160"/>
          </w:tcPr>
          <w:p>
            <w:r>
              <w:t>高风险关系建立前需高级管理批准。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"retain all records ... no less than eight (8) years"</w:t>
            </w:r>
          </w:p>
        </w:tc>
        <w:tc>
          <w:tcPr>
            <w:tcW w:type="dxa" w:w="2160"/>
          </w:tcPr>
          <w:p>
            <w:r>
              <w:t>CR / Part III.I.2 / Rule III.I.2 / p36</w:t>
            </w:r>
          </w:p>
        </w:tc>
        <w:tc>
          <w:tcPr>
            <w:tcW w:type="dxa" w:w="2160"/>
          </w:tcPr>
          <w:p>
            <w:r>
              <w:t>EDD 与审批证据至少保留8年。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识别高风险触发</w:t>
            </w:r>
          </w:p>
        </w:tc>
        <w:tc>
          <w:tcPr>
            <w:tcW w:type="dxa" w:w="1440"/>
          </w:tcPr>
          <w:p>
            <w:r>
              <w:t>高风险情形识别（C1）</w:t>
            </w:r>
          </w:p>
        </w:tc>
        <w:tc>
          <w:tcPr>
            <w:tcW w:type="dxa" w:w="1440"/>
          </w:tcPr>
          <w:p>
            <w:r>
              <w:t>触发条件明确</w:t>
            </w:r>
          </w:p>
        </w:tc>
        <w:tc>
          <w:tcPr>
            <w:tcW w:type="dxa" w:w="1440"/>
          </w:tcPr>
          <w:p>
            <w:r>
              <w:t>漏判整改</w:t>
            </w:r>
          </w:p>
        </w:tc>
        <w:tc>
          <w:tcPr>
            <w:tcW w:type="dxa" w:w="1440"/>
          </w:tcPr>
          <w:p>
            <w:r>
              <w:t>触发记录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执行EDD扩展核验</w:t>
            </w:r>
          </w:p>
        </w:tc>
        <w:tc>
          <w:tcPr>
            <w:tcW w:type="dxa" w:w="1440"/>
          </w:tcPr>
          <w:p>
            <w:r>
              <w:t>附加身份+SOF/SOW核验（C4）</w:t>
            </w:r>
          </w:p>
        </w:tc>
        <w:tc>
          <w:tcPr>
            <w:tcW w:type="dxa" w:w="1440"/>
          </w:tcPr>
          <w:p>
            <w:r>
              <w:t>材料充分可验证</w:t>
            </w:r>
          </w:p>
        </w:tc>
        <w:tc>
          <w:tcPr>
            <w:tcW w:type="dxa" w:w="1440"/>
          </w:tcPr>
          <w:p>
            <w:r>
              <w:t>补件或拒绝</w:t>
            </w:r>
          </w:p>
        </w:tc>
        <w:tc>
          <w:tcPr>
            <w:tcW w:type="dxa" w:w="1440"/>
          </w:tcPr>
          <w:p>
            <w:r>
              <w:t>EDD工作底稿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PEP场景审批</w:t>
            </w:r>
          </w:p>
        </w:tc>
        <w:tc>
          <w:tcPr>
            <w:tcW w:type="dxa" w:w="1440"/>
          </w:tcPr>
          <w:p>
            <w:r>
              <w:t>PEP需管理审批（C2/C3）</w:t>
            </w:r>
          </w:p>
        </w:tc>
        <w:tc>
          <w:tcPr>
            <w:tcW w:type="dxa" w:w="1440"/>
          </w:tcPr>
          <w:p>
            <w:r>
              <w:t>审批链完整</w:t>
            </w:r>
          </w:p>
        </w:tc>
        <w:tc>
          <w:tcPr>
            <w:tcW w:type="dxa" w:w="1440"/>
          </w:tcPr>
          <w:p>
            <w:r>
              <w:t>阻断关系</w:t>
            </w:r>
          </w:p>
        </w:tc>
        <w:tc>
          <w:tcPr>
            <w:tcW w:type="dxa" w:w="1440"/>
          </w:tcPr>
          <w:p>
            <w:r>
              <w:t>审批记录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高级管理准入决策</w:t>
            </w:r>
          </w:p>
        </w:tc>
        <w:tc>
          <w:tcPr>
            <w:tcW w:type="dxa" w:w="1440"/>
          </w:tcPr>
          <w:p>
            <w:r>
              <w:t>关系建立前审批（C5）</w:t>
            </w:r>
          </w:p>
        </w:tc>
        <w:tc>
          <w:tcPr>
            <w:tcW w:type="dxa" w:w="1440"/>
          </w:tcPr>
          <w:p>
            <w:r>
              <w:t>审批在前、生效在后</w:t>
            </w:r>
          </w:p>
        </w:tc>
        <w:tc>
          <w:tcPr>
            <w:tcW w:type="dxa" w:w="1440"/>
          </w:tcPr>
          <w:p>
            <w:r>
              <w:t>拒绝准入</w:t>
            </w:r>
          </w:p>
        </w:tc>
        <w:tc>
          <w:tcPr>
            <w:tcW w:type="dxa" w:w="1440"/>
          </w:tcPr>
          <w:p>
            <w:r>
              <w:t>准入决策记录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归档与留存</w:t>
            </w:r>
          </w:p>
        </w:tc>
        <w:tc>
          <w:tcPr>
            <w:tcW w:type="dxa" w:w="1440"/>
          </w:tcPr>
          <w:p>
            <w:r>
              <w:t>记录&gt;=8年（C6）</w:t>
            </w:r>
          </w:p>
        </w:tc>
        <w:tc>
          <w:tcPr>
            <w:tcW w:type="dxa" w:w="1440"/>
          </w:tcPr>
          <w:p>
            <w:r>
              <w:t>可抽检</w:t>
            </w:r>
          </w:p>
        </w:tc>
        <w:tc>
          <w:tcPr>
            <w:tcW w:type="dxa" w:w="1440"/>
          </w:tcPr>
          <w:p>
            <w:r>
              <w:t>补录纠偏</w:t>
            </w:r>
          </w:p>
        </w:tc>
        <w:tc>
          <w:tcPr>
            <w:tcW w:type="dxa" w:w="1440"/>
          </w:tcPr>
          <w:p>
            <w:r>
              <w:t>归档台账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F-AUD-006-001 — 高风险触发与EDD流程</w:t>
      </w:r>
    </w:p>
    <w:p>
      <w:r>
        <w:t>requirement_refs: C1/C4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[High-risk Trigger] -&gt; [Open EDD Case]</w:t>
        <w:br/>
        <w:t xml:space="preserve"> -&gt; [Collect Additional ID + SOF/SOW]</w:t>
        <w:br/>
        <w:t xml:space="preserve"> -&gt; {EDD Complete?}</w:t>
        <w:br/>
        <w:t xml:space="preserve">   No -&gt; [Request Additional Evidence]</w:t>
        <w:br/>
        <w:t xml:space="preserve">   Yes -&gt; [Prepare Approval Pack]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A[High-risk Trigger] --&gt; B[Open EDD Case]</w:t>
        <w:br/>
        <w:t>B --&gt; C[Collect Additional ID and SOF SOW]</w:t>
        <w:br/>
        <w:t>C --&gt; D{EDD Complete?}</w:t>
        <w:br/>
        <w:t>D -- No --&gt; E[Request Additional Evidence]</w:t>
        <w:br/>
        <w:t>E --&gt; C</w:t>
        <w:br/>
        <w:t>D -- Yes --&gt; F[Prepare Approval Pack]</w:t>
        <w:br/>
        <w:t>F --&gt; Z[End]</w:t>
        <w:br/>
        <w:t>```</w:t>
      </w:r>
    </w:p>
    <w:p>
      <w:r>
        <w:rPr>
          <w:b/>
        </w:rPr>
        <w:t>F-AUD-006-002 — PEP/UBO为PEP审批流程</w:t>
      </w:r>
    </w:p>
    <w:p>
      <w:r>
        <w:t>requirement_refs: C2/C3/C5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[PEP Identified] -&gt; [MLRO Review]</w:t>
        <w:br/>
        <w:t xml:space="preserve"> -&gt; [Senior Management Approval]</w:t>
        <w:br/>
        <w:t xml:space="preserve"> -&gt; {Approved?}</w:t>
        <w:br/>
        <w:t xml:space="preserve">   No -&gt; [Reject Relationship]</w:t>
        <w:br/>
        <w:t xml:space="preserve">   Yes -&gt; [Allow with Enhanced Monitoring] -&gt; [Log]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A[PEP Identified] --&gt; B[MLRO Review]</w:t>
        <w:br/>
        <w:t>B --&gt; C[Senior Management Approval]</w:t>
        <w:br/>
        <w:t>C --&gt; D{Approved?}</w:t>
        <w:br/>
        <w:t>D -- No --&gt; E[Reject Relationship]</w:t>
        <w:br/>
        <w:t>D -- Yes --&gt; F[Allow with Enhanced Monitoring]</w:t>
        <w:br/>
        <w:t>E --&gt; G[Log]</w:t>
        <w:br/>
        <w:t>F --&gt; G</w:t>
        <w:br/>
        <w:t>```</w:t>
      </w:r>
    </w:p>
    <w:p>
      <w:r>
        <w:rPr>
          <w:b/>
        </w:rPr>
        <w:t>F-AUD-006-003 — EDD归档与复核流程</w:t>
      </w:r>
    </w:p>
    <w:p>
      <w:r>
        <w:t>requirement_refs: C4/C6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[EDD Decision] -&gt; [Bind Evidence Bundle]</w:t>
        <w:br/>
        <w:t xml:space="preserve"> -&gt; [Set Monitoring Level]</w:t>
        <w:br/>
        <w:t xml:space="preserve"> -&gt; [Archive &gt;=8y]</w:t>
        <w:br/>
        <w:t xml:space="preserve"> -&gt; [Periodic Recheck Trigger]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A[EDD Decision] --&gt; B[Bind Evidence Bundle]</w:t>
        <w:br/>
        <w:t>B --&gt; C[Set Monitoring Level]</w:t>
        <w:br/>
        <w:t>C --&gt; D[Archive gte 8y]</w:t>
        <w:br/>
        <w:t>D --&gt; E[Periodic Recheck Trigger]</w:t>
        <w:br/>
        <w:t>E --&gt; Z[End]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高风险触发规则维护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EDD执行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PEP审批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高级管理准入决策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EDD案件记录</w:t>
            </w:r>
          </w:p>
        </w:tc>
        <w:tc>
          <w:tcPr>
            <w:tcW w:type="dxa" w:w="1728"/>
          </w:tcPr>
          <w:p>
            <w:r>
              <w:t>触发原因、核验过程、结论</w:t>
            </w:r>
          </w:p>
        </w:tc>
        <w:tc>
          <w:tcPr>
            <w:tcW w:type="dxa" w:w="1728"/>
          </w:tcPr>
          <w:p>
            <w:r>
              <w:t>触发时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C1/C4/C6</w:t>
            </w:r>
          </w:p>
        </w:tc>
      </w:tr>
      <w:tr>
        <w:tc>
          <w:tcPr>
            <w:tcW w:type="dxa" w:w="1728"/>
          </w:tcPr>
          <w:p>
            <w:r>
              <w:t>SOF/SOW证明</w:t>
            </w:r>
          </w:p>
        </w:tc>
        <w:tc>
          <w:tcPr>
            <w:tcW w:type="dxa" w:w="1728"/>
          </w:tcPr>
          <w:p>
            <w:r>
              <w:t>资金来源与财富来源证据</w:t>
            </w:r>
          </w:p>
        </w:tc>
        <w:tc>
          <w:tcPr>
            <w:tcW w:type="dxa" w:w="1728"/>
          </w:tcPr>
          <w:p>
            <w:r>
              <w:t>EDD过程中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C4/C6</w:t>
            </w:r>
          </w:p>
        </w:tc>
      </w:tr>
      <w:tr>
        <w:tc>
          <w:tcPr>
            <w:tcW w:type="dxa" w:w="1728"/>
          </w:tcPr>
          <w:p>
            <w:r>
              <w:t>PEP审批记录</w:t>
            </w:r>
          </w:p>
        </w:tc>
        <w:tc>
          <w:tcPr>
            <w:tcW w:type="dxa" w:w="1728"/>
          </w:tcPr>
          <w:p>
            <w:r>
              <w:t>MLRO意见与高管决策</w:t>
            </w:r>
          </w:p>
        </w:tc>
        <w:tc>
          <w:tcPr>
            <w:tcW w:type="dxa" w:w="1728"/>
          </w:tcPr>
          <w:p>
            <w:r>
              <w:t>PEP场景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C2/C3/C5/C6</w:t>
            </w:r>
          </w:p>
        </w:tc>
      </w:tr>
      <w:tr>
        <w:tc>
          <w:tcPr>
            <w:tcW w:type="dxa" w:w="1728"/>
          </w:tcPr>
          <w:p>
            <w:r>
              <w:t>监测等级设置记录</w:t>
            </w:r>
          </w:p>
        </w:tc>
        <w:tc>
          <w:tcPr>
            <w:tcW w:type="dxa" w:w="1728"/>
          </w:tcPr>
          <w:p>
            <w:r>
              <w:t>后续监测强度与计划</w:t>
            </w:r>
          </w:p>
        </w:tc>
        <w:tc>
          <w:tcPr>
            <w:tcW w:type="dxa" w:w="1728"/>
          </w:tcPr>
          <w:p>
            <w:r>
              <w:t>准入后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C4/C6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EDD启动</w:t>
            </w:r>
          </w:p>
        </w:tc>
        <w:tc>
          <w:tcPr>
            <w:tcW w:type="dxa" w:w="2160"/>
          </w:tcPr>
          <w:p>
            <w:r>
              <w:t>高风险识别后立即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C1</w:t>
            </w:r>
          </w:p>
        </w:tc>
      </w:tr>
      <w:tr>
        <w:tc>
          <w:tcPr>
            <w:tcW w:type="dxa" w:w="2160"/>
          </w:tcPr>
          <w:p>
            <w:r>
              <w:t>PEP审批</w:t>
            </w:r>
          </w:p>
        </w:tc>
        <w:tc>
          <w:tcPr>
            <w:tcW w:type="dxa" w:w="2160"/>
          </w:tcPr>
          <w:p>
            <w:r>
              <w:t>准入前完成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C2/C3/C5</w:t>
            </w:r>
          </w:p>
        </w:tc>
      </w:tr>
      <w:tr>
        <w:tc>
          <w:tcPr>
            <w:tcW w:type="dxa" w:w="2160"/>
          </w:tcPr>
          <w:p>
            <w:r>
              <w:t>复核触发</w:t>
            </w:r>
          </w:p>
        </w:tc>
        <w:tc>
          <w:tcPr>
            <w:tcW w:type="dxa" w:w="2160"/>
          </w:tcPr>
          <w:p>
            <w:r>
              <w:t>按风险计划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C6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是否定义高风险触发标准并可追溯？</w:t>
      </w:r>
    </w:p>
    <w:p>
      <w:r>
        <w:t>2. 是否在高风险场景执行了SOF/SOW核验？</w:t>
      </w:r>
    </w:p>
    <w:p>
      <w:r>
        <w:t>3. PEP/UBO为PEP是否有MLRO+高管审批？</w:t>
      </w:r>
    </w:p>
    <w:p>
      <w:r>
        <w:t>4. 是否存在先准入后审批的时序违规？</w:t>
      </w:r>
    </w:p>
    <w:p>
      <w:r>
        <w:t>5. EDD证据是否满足8年留存？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高风险客户未执行EDD即准入。</w:t>
      </w:r>
    </w:p>
    <w:p>
      <w:pPr>
        <w:pStyle w:val="ListBullet"/>
      </w:pPr>
      <w:r>
        <w:t>PEP场景缺失管理审批链。</w:t>
      </w:r>
    </w:p>
    <w:p>
      <w:pPr>
        <w:pStyle w:val="ListBullet"/>
      </w:pPr>
      <w:r>
        <w:t>SOF/SOW证据不足。</w:t>
      </w:r>
    </w:p>
    <w:p>
      <w:pPr>
        <w:pStyle w:val="ListBullet"/>
      </w:pPr>
      <w:r>
        <w:t>EDD归档不完整。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