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CAP-007_Audit_Compliance_Guide_v2</w:t>
      </w:r>
    </w:p>
    <w:p>
      <w:pPr>
        <w:jc w:val="center"/>
      </w:pPr>
      <w:r>
        <w:t>充值/入金服务编排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CAP-007</w:t>
            </w:r>
          </w:p>
        </w:tc>
      </w:tr>
      <w:tr>
        <w:tc>
          <w:tcPr>
            <w:tcW w:type="dxa" w:w="4320"/>
          </w:tcPr>
          <w:p>
            <w:r>
              <w:t>cap_name</w:t>
            </w:r>
          </w:p>
        </w:tc>
        <w:tc>
          <w:tcPr>
            <w:tcW w:type="dxa" w:w="4320"/>
          </w:tcPr>
          <w:p>
            <w:r>
              <w:t>充值/入金服务编排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audit_compact_v1</w:t>
            </w:r>
          </w:p>
        </w:tc>
      </w:tr>
      <w:tr>
        <w:tc>
          <w:tcPr>
            <w:tcW w:type="dxa" w:w="4320"/>
          </w:tcPr>
          <w:p>
            <w:r>
              <w:t>tech_output_enabled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diagram_policy</w:t>
            </w:r>
          </w:p>
        </w:tc>
        <w:tc>
          <w:tcPr>
            <w:tcW w:type="dxa" w:w="4320"/>
          </w:tcPr>
          <w:p>
            <w:r>
              <w:t>ascii_required=true; mermaid_required=true; image_allowed=false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CR Part IV.B/IV.D/IV.E + Part V.B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AuditDocMeta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rulebook/part/rule/page/quote_en/interpretation_cn</w:t>
            </w:r>
          </w:p>
        </w:tc>
      </w:tr>
      <w:tr>
        <w:tc>
          <w:tcPr>
            <w:tcW w:type="dxa" w:w="2880"/>
          </w:tcPr>
          <w:p>
            <w:r>
              <w:t>ControlEvidenceRecord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control_id/evidence_type/created_at/retention_period/owner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CAP-007 的入金流程编排控制。</w:t>
      </w:r>
    </w:p>
    <w:p>
      <w:pPr>
        <w:pStyle w:val="ListBullet"/>
      </w:pPr>
      <w:r>
        <w:t>覆盖 Client Money 入账时限、收款记录、识别与日对账，以及 Client VA 隔离编排衔接。</w:t>
      </w:r>
    </w:p>
    <w:p>
      <w:pPr>
        <w:pStyle w:val="ListBullet"/>
      </w:pPr>
      <w:r>
        <w:t>边界声明：资产隔离制度本体在 CAP-016/018，本 CAP 仅定义流程编排控制。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"Client Money ... paid into a Client Account within one (1) calendar day"</w:t>
            </w:r>
          </w:p>
        </w:tc>
        <w:tc>
          <w:tcPr>
            <w:tcW w:type="dxa" w:w="2160"/>
          </w:tcPr>
          <w:p>
            <w:r>
              <w:t>CR / Part IV.B.5(a) / Rule IV.B.5(a) / p38</w:t>
            </w:r>
          </w:p>
        </w:tc>
        <w:tc>
          <w:tcPr>
            <w:tcW w:type="dxa" w:w="2160"/>
          </w:tcPr>
          <w:p>
            <w:r>
              <w:t>客户资金入账时限需满足1天要求。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"must maintain adequate records of all payments of Client Money received"</w:t>
            </w:r>
          </w:p>
        </w:tc>
        <w:tc>
          <w:tcPr>
            <w:tcW w:type="dxa" w:w="2160"/>
          </w:tcPr>
          <w:p>
            <w:r>
              <w:t>CR / Part IV.B.8 / Rule IV.B.8 / p38</w:t>
            </w:r>
          </w:p>
        </w:tc>
        <w:tc>
          <w:tcPr>
            <w:tcW w:type="dxa" w:w="2160"/>
          </w:tcPr>
          <w:p>
            <w:r>
              <w:t>入金收款记录必须完整。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"keep proper and up-to-date records regarding ... receipt and payment of Client Money"</w:t>
            </w:r>
          </w:p>
        </w:tc>
        <w:tc>
          <w:tcPr>
            <w:tcW w:type="dxa" w:w="2160"/>
          </w:tcPr>
          <w:p>
            <w:r>
              <w:t>CR / Part IV.D.1 / Rule IV.D.1 / p41</w:t>
            </w:r>
          </w:p>
        </w:tc>
        <w:tc>
          <w:tcPr>
            <w:tcW w:type="dxa" w:w="2160"/>
          </w:tcPr>
          <w:p>
            <w:r>
              <w:t>入金记录需支持后续对账与抽检。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"accurate reconciliations ... carried out daily"</w:t>
            </w:r>
          </w:p>
        </w:tc>
        <w:tc>
          <w:tcPr>
            <w:tcW w:type="dxa" w:w="2160"/>
          </w:tcPr>
          <w:p>
            <w:r>
              <w:t>CR / Part IV.E.1-3 / Rule IV.E / p42</w:t>
            </w:r>
          </w:p>
        </w:tc>
        <w:tc>
          <w:tcPr>
            <w:tcW w:type="dxa" w:w="2160"/>
          </w:tcPr>
          <w:p>
            <w:r>
              <w:t>入金相关对账需日频执行。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"Client VAs ... separate VA Wallets ... one-to-one basis"</w:t>
            </w:r>
          </w:p>
        </w:tc>
        <w:tc>
          <w:tcPr>
            <w:tcW w:type="dxa" w:w="2160"/>
          </w:tcPr>
          <w:p>
            <w:r>
              <w:t>CR / Part V.B.3-4 / Rule V.B.3-4 / p44</w:t>
            </w:r>
          </w:p>
        </w:tc>
        <w:tc>
          <w:tcPr>
            <w:tcW w:type="dxa" w:w="2160"/>
          </w:tcPr>
          <w:p>
            <w:r>
              <w:t>入链资产处理需与Client VA隔离/1:1要求对齐。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接收入金指令</w:t>
            </w:r>
          </w:p>
        </w:tc>
        <w:tc>
          <w:tcPr>
            <w:tcW w:type="dxa" w:w="1440"/>
          </w:tcPr>
          <w:p>
            <w:r>
              <w:t>入金指令可识别（C2/C3）</w:t>
            </w:r>
          </w:p>
        </w:tc>
        <w:tc>
          <w:tcPr>
            <w:tcW w:type="dxa" w:w="1440"/>
          </w:tcPr>
          <w:p>
            <w:r>
              <w:t>来源与金额清晰</w:t>
            </w:r>
          </w:p>
        </w:tc>
        <w:tc>
          <w:tcPr>
            <w:tcW w:type="dxa" w:w="1440"/>
          </w:tcPr>
          <w:p>
            <w:r>
              <w:t>挂起处理</w:t>
            </w:r>
          </w:p>
        </w:tc>
        <w:tc>
          <w:tcPr>
            <w:tcW w:type="dxa" w:w="1440"/>
          </w:tcPr>
          <w:p>
            <w:r>
              <w:t>入金指令记录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资金入Client Account</w:t>
            </w:r>
          </w:p>
        </w:tc>
        <w:tc>
          <w:tcPr>
            <w:tcW w:type="dxa" w:w="1440"/>
          </w:tcPr>
          <w:p>
            <w:r>
              <w:t>入账时限合规（C1）</w:t>
            </w:r>
          </w:p>
        </w:tc>
        <w:tc>
          <w:tcPr>
            <w:tcW w:type="dxa" w:w="1440"/>
          </w:tcPr>
          <w:p>
            <w:r>
              <w:t>1日内入账</w:t>
            </w:r>
          </w:p>
        </w:tc>
        <w:tc>
          <w:tcPr>
            <w:tcW w:type="dxa" w:w="1440"/>
          </w:tcPr>
          <w:p>
            <w:r>
              <w:t>异常升级</w:t>
            </w:r>
          </w:p>
        </w:tc>
        <w:tc>
          <w:tcPr>
            <w:tcW w:type="dxa" w:w="1440"/>
          </w:tcPr>
          <w:p>
            <w:r>
              <w:t>入账流水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入金归属识别</w:t>
            </w:r>
          </w:p>
        </w:tc>
        <w:tc>
          <w:tcPr>
            <w:tcW w:type="dxa" w:w="1440"/>
          </w:tcPr>
          <w:p>
            <w:r>
              <w:t>记录可对账（C2/C3）</w:t>
            </w:r>
          </w:p>
        </w:tc>
        <w:tc>
          <w:tcPr>
            <w:tcW w:type="dxa" w:w="1440"/>
          </w:tcPr>
          <w:p>
            <w:r>
              <w:t>客户归属准确</w:t>
            </w:r>
          </w:p>
        </w:tc>
        <w:tc>
          <w:tcPr>
            <w:tcW w:type="dxa" w:w="1440"/>
          </w:tcPr>
          <w:p>
            <w:r>
              <w:t>人工复核</w:t>
            </w:r>
          </w:p>
        </w:tc>
        <w:tc>
          <w:tcPr>
            <w:tcW w:type="dxa" w:w="1440"/>
          </w:tcPr>
          <w:p>
            <w:r>
              <w:t>归属明细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日对账</w:t>
            </w:r>
          </w:p>
        </w:tc>
        <w:tc>
          <w:tcPr>
            <w:tcW w:type="dxa" w:w="1440"/>
          </w:tcPr>
          <w:p>
            <w:r>
              <w:t>每日准确对账（C4）</w:t>
            </w:r>
          </w:p>
        </w:tc>
        <w:tc>
          <w:tcPr>
            <w:tcW w:type="dxa" w:w="1440"/>
          </w:tcPr>
          <w:p>
            <w:r>
              <w:t>差异闭环</w:t>
            </w:r>
          </w:p>
        </w:tc>
        <w:tc>
          <w:tcPr>
            <w:tcW w:type="dxa" w:w="1440"/>
          </w:tcPr>
          <w:p>
            <w:r>
              <w:t>上报整改</w:t>
            </w:r>
          </w:p>
        </w:tc>
        <w:tc>
          <w:tcPr>
            <w:tcW w:type="dxa" w:w="1440"/>
          </w:tcPr>
          <w:p>
            <w:r>
              <w:t>对账报告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链上资产编排衔接</w:t>
            </w:r>
          </w:p>
        </w:tc>
        <w:tc>
          <w:tcPr>
            <w:tcW w:type="dxa" w:w="1440"/>
          </w:tcPr>
          <w:p>
            <w:r>
              <w:t>与Client VA隔离要求一致（C5）</w:t>
            </w:r>
          </w:p>
        </w:tc>
        <w:tc>
          <w:tcPr>
            <w:tcW w:type="dxa" w:w="1440"/>
          </w:tcPr>
          <w:p>
            <w:r>
              <w:t>路径正确</w:t>
            </w:r>
          </w:p>
        </w:tc>
        <w:tc>
          <w:tcPr>
            <w:tcW w:type="dxa" w:w="1440"/>
          </w:tcPr>
          <w:p>
            <w:r>
              <w:t>阻断异常路径</w:t>
            </w:r>
          </w:p>
        </w:tc>
        <w:tc>
          <w:tcPr>
            <w:tcW w:type="dxa" w:w="1440"/>
          </w:tcPr>
          <w:p>
            <w:r>
              <w:t>链上处理记录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F-AUD-007-001 — 法币入金处理流程</w:t>
      </w:r>
    </w:p>
    <w:p>
      <w:r>
        <w:t>requirement_refs: C1/C2/C3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[Deposit Received] -&gt; [Identify Client + Amount]</w:t>
        <w:br/>
        <w:t xml:space="preserve"> -&gt; [Post to Client Account &lt;=1 day]</w:t>
        <w:br/>
        <w:t xml:space="preserve"> -&gt; [Record Payment Details]</w:t>
        <w:br/>
        <w:t xml:space="preserve"> -&gt; [Update Client Ledger]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A[Deposit Received] --&gt; B[Identify Client and Amount]</w:t>
        <w:br/>
        <w:t>B --&gt; C[Post to Client Account lte 1 day]</w:t>
        <w:br/>
        <w:t>C --&gt; D[Record Payment Details]</w:t>
        <w:br/>
        <w:t>D --&gt; E[Update Client Ledger]</w:t>
        <w:br/>
        <w:t>E --&gt; Z[End]</w:t>
        <w:br/>
        <w:t>```</w:t>
      </w:r>
    </w:p>
    <w:p>
      <w:r>
        <w:rPr>
          <w:b/>
        </w:rPr>
        <w:t>F-AUD-007-002 — 入金归属与日对账流程</w:t>
      </w:r>
    </w:p>
    <w:p>
      <w:r>
        <w:t>requirement_refs: C3/C4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[Daily Cut-off] -&gt; [Aggregate Client Money Movements]</w:t>
        <w:br/>
        <w:t xml:space="preserve"> -&gt; [Reconcile Ledgers/Bank]</w:t>
        <w:br/>
        <w:t xml:space="preserve"> -&gt; {Discrepancy?}</w:t>
        <w:br/>
        <w:t xml:space="preserve">   No -&gt; [Close Day]</w:t>
        <w:br/>
        <w:t xml:space="preserve">   Yes -&gt; [Investigate + Correct + Notify if material]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A[Daily Cut-off] --&gt; B[Aggregate Client Money Movements]</w:t>
        <w:br/>
        <w:t>B --&gt; C[Reconcile Ledgers and Bank]</w:t>
        <w:br/>
        <w:t>C --&gt; D{Discrepancy?}</w:t>
        <w:br/>
        <w:t>D -- No --&gt; E[Close Day]</w:t>
        <w:br/>
        <w:t>D -- Yes --&gt; F[Investigate Correct and Notify if material]</w:t>
        <w:br/>
        <w:t>```</w:t>
      </w:r>
    </w:p>
    <w:p>
      <w:r>
        <w:rPr>
          <w:b/>
        </w:rPr>
        <w:t>F-AUD-007-003 — 入链资产编排衔接流程</w:t>
      </w:r>
    </w:p>
    <w:p>
      <w:r>
        <w:t>requirement_refs: C5/C4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[VA Top-up Event] -&gt; [Map to Client VA Wallet]</w:t>
        <w:br/>
        <w:t xml:space="preserve"> -&gt; [Check Segregation + 1:1 Rule]</w:t>
        <w:br/>
        <w:t xml:space="preserve"> -&gt; [Credit Client Position]</w:t>
        <w:br/>
        <w:t xml:space="preserve"> -&gt; [Include in Daily VA Reconciliation]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A[VA Top-up Event] --&gt; B[Map to Client VA Wallet]</w:t>
        <w:br/>
        <w:t>B --&gt; C[Check Segregation and 1 to 1 Rule]</w:t>
        <w:br/>
        <w:t>C --&gt; D[Credit Client Position]</w:t>
        <w:br/>
        <w:t>D --&gt; E[Include in Daily VA Reconciliation]</w:t>
        <w:br/>
        <w:t>E --&gt; Z[End]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Risk/Ops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MLRO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</w:tr>
      <w:tr>
        <w:tc>
          <w:tcPr>
            <w:tcW w:type="dxa" w:w="1234"/>
          </w:tcPr>
          <w:p>
            <w:r>
              <w:t>入金规则维护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入账与归属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日对账执行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差异调查与通知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证据留存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入金流水记录</w:t>
            </w:r>
          </w:p>
        </w:tc>
        <w:tc>
          <w:tcPr>
            <w:tcW w:type="dxa" w:w="1728"/>
          </w:tcPr>
          <w:p>
            <w:r>
              <w:t>入金时间、金额、客户归属</w:t>
            </w:r>
          </w:p>
        </w:tc>
        <w:tc>
          <w:tcPr>
            <w:tcW w:type="dxa" w:w="1728"/>
          </w:tcPr>
          <w:p>
            <w:r>
              <w:t>每次入金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C2/C3</w:t>
            </w:r>
          </w:p>
        </w:tc>
      </w:tr>
      <w:tr>
        <w:tc>
          <w:tcPr>
            <w:tcW w:type="dxa" w:w="1728"/>
          </w:tcPr>
          <w:p>
            <w:r>
              <w:t>Client Account入账记录</w:t>
            </w:r>
          </w:p>
        </w:tc>
        <w:tc>
          <w:tcPr>
            <w:tcW w:type="dxa" w:w="1728"/>
          </w:tcPr>
          <w:p>
            <w:r>
              <w:t>入账时间与账户信息</w:t>
            </w:r>
          </w:p>
        </w:tc>
        <w:tc>
          <w:tcPr>
            <w:tcW w:type="dxa" w:w="1728"/>
          </w:tcPr>
          <w:p>
            <w:r>
              <w:t>每次入账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C1/C3</w:t>
            </w:r>
          </w:p>
        </w:tc>
      </w:tr>
      <w:tr>
        <w:tc>
          <w:tcPr>
            <w:tcW w:type="dxa" w:w="1728"/>
          </w:tcPr>
          <w:p>
            <w:r>
              <w:t>日对账报告</w:t>
            </w:r>
          </w:p>
        </w:tc>
        <w:tc>
          <w:tcPr>
            <w:tcW w:type="dxa" w:w="1728"/>
          </w:tcPr>
          <w:p>
            <w:r>
              <w:t>账簿与银行/钱包对账结果</w:t>
            </w:r>
          </w:p>
        </w:tc>
        <w:tc>
          <w:tcPr>
            <w:tcW w:type="dxa" w:w="1728"/>
          </w:tcPr>
          <w:p>
            <w:r>
              <w:t>每日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C4</w:t>
            </w:r>
          </w:p>
        </w:tc>
      </w:tr>
      <w:tr>
        <w:tc>
          <w:tcPr>
            <w:tcW w:type="dxa" w:w="1728"/>
          </w:tcPr>
          <w:p>
            <w:r>
              <w:t>差异处置记录</w:t>
            </w:r>
          </w:p>
        </w:tc>
        <w:tc>
          <w:tcPr>
            <w:tcW w:type="dxa" w:w="1728"/>
          </w:tcPr>
          <w:p>
            <w:r>
              <w:t>差异原因、处置动作、通知</w:t>
            </w:r>
          </w:p>
        </w:tc>
        <w:tc>
          <w:tcPr>
            <w:tcW w:type="dxa" w:w="1728"/>
          </w:tcPr>
          <w:p>
            <w:r>
              <w:t>有差异时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C4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入账时限</w:t>
            </w:r>
          </w:p>
        </w:tc>
        <w:tc>
          <w:tcPr>
            <w:tcW w:type="dxa" w:w="2160"/>
          </w:tcPr>
          <w:p>
            <w:r>
              <w:t>1 calendar day 内入Client Account</w:t>
            </w:r>
          </w:p>
        </w:tc>
        <w:tc>
          <w:tcPr>
            <w:tcW w:type="dxa" w:w="2160"/>
          </w:tcPr>
          <w:p>
            <w:r>
              <w:t>每次入金</w:t>
            </w:r>
          </w:p>
        </w:tc>
        <w:tc>
          <w:tcPr>
            <w:tcW w:type="dxa" w:w="2160"/>
          </w:tcPr>
          <w:p>
            <w:r>
              <w:t>C1</w:t>
            </w:r>
          </w:p>
        </w:tc>
      </w:tr>
      <w:tr>
        <w:tc>
          <w:tcPr>
            <w:tcW w:type="dxa" w:w="2160"/>
          </w:tcPr>
          <w:p>
            <w:r>
              <w:t>对账频率</w:t>
            </w:r>
          </w:p>
        </w:tc>
        <w:tc>
          <w:tcPr>
            <w:tcW w:type="dxa" w:w="2160"/>
          </w:tcPr>
          <w:p>
            <w:r>
              <w:t>每日对账</w:t>
            </w:r>
          </w:p>
        </w:tc>
        <w:tc>
          <w:tcPr>
            <w:tcW w:type="dxa" w:w="2160"/>
          </w:tcPr>
          <w:p>
            <w:r>
              <w:t>每日</w:t>
            </w:r>
          </w:p>
        </w:tc>
        <w:tc>
          <w:tcPr>
            <w:tcW w:type="dxa" w:w="2160"/>
          </w:tcPr>
          <w:p>
            <w:r>
              <w:t>C4</w:t>
            </w:r>
          </w:p>
        </w:tc>
      </w:tr>
      <w:tr>
        <w:tc>
          <w:tcPr>
            <w:tcW w:type="dxa" w:w="2160"/>
          </w:tcPr>
          <w:p>
            <w:r>
              <w:t>留存周期</w:t>
            </w:r>
          </w:p>
        </w:tc>
        <w:tc>
          <w:tcPr>
            <w:tcW w:type="dxa" w:w="2160"/>
          </w:tcPr>
          <w:p>
            <w:r>
              <w:t>不少于8年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C3</w:t>
            </w:r>
          </w:p>
        </w:tc>
      </w:tr>
      <w:tr>
        <w:tc>
          <w:tcPr>
            <w:tcW w:type="dxa" w:w="2160"/>
          </w:tcPr>
          <w:p>
            <w:r>
              <w:t>异常处置</w:t>
            </w:r>
          </w:p>
        </w:tc>
        <w:tc>
          <w:tcPr>
            <w:tcW w:type="dxa" w:w="2160"/>
          </w:tcPr>
          <w:p>
            <w:r>
              <w:t>发现差异后立即启动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C4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入金是否在时限内进入Client Account？</w:t>
      </w:r>
    </w:p>
    <w:p>
      <w:r>
        <w:t>2. 是否保留了完整收款与归属记录？</w:t>
      </w:r>
    </w:p>
    <w:p>
      <w:r>
        <w:t>3. 日对账是否覆盖所有入金路径？</w:t>
      </w:r>
    </w:p>
    <w:p>
      <w:r>
        <w:t>4. 差异是否形成闭环并可追溯？</w:t>
      </w:r>
    </w:p>
    <w:p>
      <w:r>
        <w:t>5. 入链资产路径是否遵守隔离与1:1编排要求？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入金入账超过时限。</w:t>
      </w:r>
    </w:p>
    <w:p>
      <w:pPr>
        <w:pStyle w:val="ListBullet"/>
      </w:pPr>
      <w:r>
        <w:t>收款记录与客户归属不完整。</w:t>
      </w:r>
    </w:p>
    <w:p>
      <w:pPr>
        <w:pStyle w:val="ListBullet"/>
      </w:pPr>
      <w:r>
        <w:t>日对账漏项或未按日执行。</w:t>
      </w:r>
    </w:p>
    <w:p>
      <w:pPr>
        <w:pStyle w:val="ListBullet"/>
      </w:pPr>
      <w:r>
        <w:t>差异处理无证据闭环。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