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22222"/>
        </w:rPr>
        <w:t>CONFIDENTIAL</w:t>
      </w:r>
    </w:p>
    <w:p>
      <w:pPr>
        <w:jc w:val="center"/>
      </w:pPr>
      <w:r>
        <w:rPr>
          <w:b/>
          <w:sz w:val="36"/>
        </w:rPr>
        <w:t>CAP-008_Audit_Compliance_Guide_v2</w:t>
      </w:r>
    </w:p>
    <w:p>
      <w:pPr>
        <w:jc w:val="center"/>
      </w:pPr>
      <w:r>
        <w:t>提现/出金服务编排 — 合规可审计版本</w:t>
      </w:r>
    </w:p>
    <w:p>
      <w:pPr>
        <w:jc w:val="center"/>
      </w:pPr>
      <w:r>
        <w:t>Prepared for: Virtual Assets Regulatory Authority (VARA), Dubai</w:t>
      </w:r>
    </w:p>
    <w:p>
      <w:pPr>
        <w:jc w:val="center"/>
      </w:pPr>
      <w:r>
        <w:t>Application Type: Broker-Dealer Licence (Fiat ↔ Virtual Asset Exchange)</w:t>
      </w:r>
    </w:p>
    <w:p>
      <w:pPr>
        <w:pStyle w:val="Heading1"/>
      </w:pPr>
      <w:r>
        <w:t>1. 文档控制信息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cap_id</w:t>
            </w:r>
          </w:p>
        </w:tc>
        <w:tc>
          <w:tcPr>
            <w:tcW w:type="dxa" w:w="4320"/>
          </w:tcPr>
          <w:p>
            <w:r>
              <w:t>CAP-008</w:t>
            </w:r>
          </w:p>
        </w:tc>
      </w:tr>
      <w:tr>
        <w:tc>
          <w:tcPr>
            <w:tcW w:type="dxa" w:w="4320"/>
          </w:tcPr>
          <w:p>
            <w:r>
              <w:t>cap_name</w:t>
            </w:r>
          </w:p>
        </w:tc>
        <w:tc>
          <w:tcPr>
            <w:tcW w:type="dxa" w:w="4320"/>
          </w:tcPr>
          <w:p>
            <w:r>
              <w:t>提现/出金服务编排</w:t>
            </w:r>
          </w:p>
        </w:tc>
      </w:tr>
      <w:tr>
        <w:tc>
          <w:tcPr>
            <w:tcW w:type="dxa" w:w="4320"/>
          </w:tcPr>
          <w:p>
            <w:r>
              <w:t>doc_type</w:t>
            </w:r>
          </w:p>
        </w:tc>
        <w:tc>
          <w:tcPr>
            <w:tcW w:type="dxa" w:w="4320"/>
          </w:tcPr>
          <w:p>
            <w:r>
              <w:t>audit_compliance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2026-02-09</w:t>
            </w:r>
          </w:p>
        </w:tc>
      </w:tr>
      <w:tr>
        <w:tc>
          <w:tcPr>
            <w:tcW w:type="dxa" w:w="4320"/>
          </w:tcPr>
          <w:p>
            <w:r>
              <w:t>profile_id</w:t>
            </w:r>
          </w:p>
        </w:tc>
        <w:tc>
          <w:tcPr>
            <w:tcW w:type="dxa" w:w="4320"/>
          </w:tcPr>
          <w:p>
            <w:r>
              <w:t>audit_compact_v1</w:t>
            </w:r>
          </w:p>
        </w:tc>
      </w:tr>
      <w:tr>
        <w:tc>
          <w:tcPr>
            <w:tcW w:type="dxa" w:w="4320"/>
          </w:tcPr>
          <w:p>
            <w:r>
              <w:t>tech_output_enabled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diagram_policy</w:t>
            </w:r>
          </w:p>
        </w:tc>
        <w:tc>
          <w:tcPr>
            <w:tcW w:type="dxa" w:w="4320"/>
          </w:tcPr>
          <w:p>
            <w:r>
              <w:t>ascii_required=true; mermaid_required=true; image_allowed=false</w:t>
            </w:r>
          </w:p>
        </w:tc>
      </w:tr>
      <w:tr>
        <w:tc>
          <w:tcPr>
            <w:tcW w:type="dxa" w:w="4320"/>
          </w:tcPr>
          <w:p>
            <w:r>
              <w:t>rulebook_scope</w:t>
            </w:r>
          </w:p>
        </w:tc>
        <w:tc>
          <w:tcPr>
            <w:tcW w:type="dxa" w:w="4320"/>
          </w:tcPr>
          <w:p>
            <w:r>
              <w:t>CR Part IV.B.10/IV.E/V.D + TI Schedule 1 D.2</w:t>
            </w:r>
          </w:p>
        </w:tc>
      </w:tr>
      <w:tr>
        <w:tc>
          <w:tcPr>
            <w:tcW w:type="dxa" w:w="4320"/>
          </w:tcPr>
          <w:p>
            <w:r>
              <w:t>language_policy</w:t>
            </w:r>
          </w:p>
        </w:tc>
        <w:tc>
          <w:tcPr>
            <w:tcW w:type="dxa" w:w="4320"/>
          </w:tcPr>
          <w:p>
            <w:r>
              <w:t>中文主体 + 英文原文引用</w:t>
            </w:r>
          </w:p>
        </w:tc>
      </w:tr>
      <w:tr>
        <w:tc>
          <w:tcPr>
            <w:tcW w:type="dxa" w:w="4320"/>
          </w:tcPr>
          <w:p>
            <w:r>
              <w:t>citation_style</w:t>
            </w:r>
          </w:p>
        </w:tc>
        <w:tc>
          <w:tcPr>
            <w:tcW w:type="dxa" w:w="4320"/>
          </w:tcPr>
          <w:p>
            <w:r>
              <w:t>Rulebook/Part/Rule/page</w:t>
            </w:r>
          </w:p>
        </w:tc>
      </w:tr>
    </w:tbl>
    <w:p/>
    <w:p>
      <w:pPr>
        <w:pStyle w:val="Heading1"/>
      </w:pPr>
      <w:r>
        <w:t>2. 文档接口契约（CAPDocStructure）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对象</w:t>
            </w:r>
          </w:p>
        </w:tc>
        <w:tc>
          <w:tcPr>
            <w:tcW w:type="dxa" w:w="2880"/>
          </w:tcPr>
          <w:p>
            <w:r>
              <w:t>必选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AuditDocMeta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cap_id/doc_type/version/date/rulebook_scope/language_policy/citation_style</w:t>
            </w:r>
          </w:p>
        </w:tc>
      </w:tr>
      <w:tr>
        <w:tc>
          <w:tcPr>
            <w:tcW w:type="dxa" w:w="2880"/>
          </w:tcPr>
          <w:p>
            <w:r>
              <w:t>FlowchartSpec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flow_id/section_anchor/ascii_block/mermaid_block/requirement_refs/intent</w:t>
            </w:r>
          </w:p>
        </w:tc>
      </w:tr>
      <w:tr>
        <w:tc>
          <w:tcPr>
            <w:tcW w:type="dxa" w:w="2880"/>
          </w:tcPr>
          <w:p>
            <w:r>
              <w:t>Citation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rulebook/part/rule/page/quote_en/interpretation_cn</w:t>
            </w:r>
          </w:p>
        </w:tc>
      </w:tr>
      <w:tr>
        <w:tc>
          <w:tcPr>
            <w:tcW w:type="dxa" w:w="2880"/>
          </w:tcPr>
          <w:p>
            <w:r>
              <w:t>ControlEvidenceRecord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control_id/evidence_type/created_at/retention_period/owner</w:t>
            </w:r>
          </w:p>
        </w:tc>
      </w:tr>
    </w:tbl>
    <w:p/>
    <w:p>
      <w:pPr>
        <w:pStyle w:val="Heading1"/>
      </w:pPr>
      <w:r>
        <w:t>3. 目的与范围</w:t>
      </w:r>
    </w:p>
    <w:p>
      <w:pPr>
        <w:pStyle w:val="ListBullet"/>
      </w:pPr>
      <w:r>
        <w:t>本文件定义 CAP-008 的提现/出金流程编排控制。</w:t>
      </w:r>
    </w:p>
    <w:p>
      <w:pPr>
        <w:pStyle w:val="ListBullet"/>
      </w:pPr>
      <w:r>
        <w:t>覆盖提现文档支持、客户指令一致性、高额/关键提现验证与日对账闭环。</w:t>
      </w:r>
    </w:p>
    <w:p>
      <w:pPr>
        <w:pStyle w:val="ListBullet"/>
      </w:pPr>
      <w:r>
        <w:t>边界声明：该 CAP 为流程编排控制，不替代资产保管制度本体。</w:t>
      </w:r>
    </w:p>
    <w:p>
      <w:pPr>
        <w:pStyle w:val="Heading1"/>
      </w:pPr>
      <w:r>
        <w:t>4. 监管依据（英文原文摘录 + 定位）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Quote (EN)</w:t>
            </w:r>
          </w:p>
        </w:tc>
        <w:tc>
          <w:tcPr>
            <w:tcW w:type="dxa" w:w="2160"/>
          </w:tcPr>
          <w:p>
            <w:r>
              <w:t>定位</w:t>
            </w:r>
          </w:p>
        </w:tc>
        <w:tc>
          <w:tcPr>
            <w:tcW w:type="dxa" w:w="2160"/>
          </w:tcPr>
          <w:p>
            <w:r>
              <w:t>监管含义(中文)</w:t>
            </w:r>
          </w:p>
        </w:tc>
      </w:tr>
      <w:tr>
        <w:tc>
          <w:tcPr>
            <w:tcW w:type="dxa" w:w="2160"/>
          </w:tcPr>
          <w:p>
            <w:r>
              <w:t>C1</w:t>
            </w:r>
          </w:p>
        </w:tc>
        <w:tc>
          <w:tcPr>
            <w:tcW w:type="dxa" w:w="2160"/>
          </w:tcPr>
          <w:p>
            <w:r>
              <w:t>"procedures for ensuring all withdrawals from a Client Account are supported by proper documentation"</w:t>
            </w:r>
          </w:p>
        </w:tc>
        <w:tc>
          <w:tcPr>
            <w:tcW w:type="dxa" w:w="2160"/>
          </w:tcPr>
          <w:p>
            <w:r>
              <w:t>CR / Part IV.B.10(a) / Rule IV.B.10(a) / p39</w:t>
            </w:r>
          </w:p>
        </w:tc>
        <w:tc>
          <w:tcPr>
            <w:tcW w:type="dxa" w:w="2160"/>
          </w:tcPr>
          <w:p>
            <w:r>
              <w:t>提现必须有充分文档支持。</w:t>
            </w:r>
          </w:p>
        </w:tc>
      </w:tr>
      <w:tr>
        <w:tc>
          <w:tcPr>
            <w:tcW w:type="dxa" w:w="2160"/>
          </w:tcPr>
          <w:p>
            <w:r>
              <w:t>C2</w:t>
            </w:r>
          </w:p>
        </w:tc>
        <w:tc>
          <w:tcPr>
            <w:tcW w:type="dxa" w:w="2160"/>
          </w:tcPr>
          <w:p>
            <w:r>
              <w:t>"Client Money must remain ... until ... paid ... in accordance with a client’s instruction"</w:t>
            </w:r>
          </w:p>
        </w:tc>
        <w:tc>
          <w:tcPr>
            <w:tcW w:type="dxa" w:w="2160"/>
          </w:tcPr>
          <w:p>
            <w:r>
              <w:t>CR / Part IV.B.10(b) / Rule IV.B.10(b) / p39</w:t>
            </w:r>
          </w:p>
        </w:tc>
        <w:tc>
          <w:tcPr>
            <w:tcW w:type="dxa" w:w="2160"/>
          </w:tcPr>
          <w:p>
            <w:r>
              <w:t>出款须严格按客户指令。</w:t>
            </w:r>
          </w:p>
        </w:tc>
      </w:tr>
      <w:tr>
        <w:tc>
          <w:tcPr>
            <w:tcW w:type="dxa" w:w="2160"/>
          </w:tcPr>
          <w:p>
            <w:r>
              <w:t>C3</w:t>
            </w:r>
          </w:p>
        </w:tc>
        <w:tc>
          <w:tcPr>
            <w:tcW w:type="dxa" w:w="2160"/>
          </w:tcPr>
          <w:p>
            <w:r>
              <w:t>"accurate reconciliations ... carried out daily"</w:t>
            </w:r>
          </w:p>
        </w:tc>
        <w:tc>
          <w:tcPr>
            <w:tcW w:type="dxa" w:w="2160"/>
          </w:tcPr>
          <w:p>
            <w:r>
              <w:t>CR / Part IV.E.1-3 / Rule IV.E / p42</w:t>
            </w:r>
          </w:p>
        </w:tc>
        <w:tc>
          <w:tcPr>
            <w:tcW w:type="dxa" w:w="2160"/>
          </w:tcPr>
          <w:p>
            <w:r>
              <w:t>提现相关账户需日对账。</w:t>
            </w:r>
          </w:p>
        </w:tc>
      </w:tr>
      <w:tr>
        <w:tc>
          <w:tcPr>
            <w:tcW w:type="dxa" w:w="2160"/>
          </w:tcPr>
          <w:p>
            <w:r>
              <w:t>C4</w:t>
            </w:r>
          </w:p>
        </w:tc>
        <w:tc>
          <w:tcPr>
            <w:tcW w:type="dxa" w:w="2160"/>
          </w:tcPr>
          <w:p>
            <w:r>
              <w:t>"notify VARA where there has been a material discrepancy"</w:t>
            </w:r>
          </w:p>
        </w:tc>
        <w:tc>
          <w:tcPr>
            <w:tcW w:type="dxa" w:w="2160"/>
          </w:tcPr>
          <w:p>
            <w:r>
              <w:t>CR / Part IV.E.5 / Rule IV.E.5 / p42</w:t>
            </w:r>
          </w:p>
        </w:tc>
        <w:tc>
          <w:tcPr>
            <w:tcW w:type="dxa" w:w="2160"/>
          </w:tcPr>
          <w:p>
            <w:r>
              <w:t>重大对账差异需通知VARA。</w:t>
            </w:r>
          </w:p>
        </w:tc>
      </w:tr>
      <w:tr>
        <w:tc>
          <w:tcPr>
            <w:tcW w:type="dxa" w:w="2160"/>
          </w:tcPr>
          <w:p>
            <w:r>
              <w:t>C5</w:t>
            </w:r>
          </w:p>
        </w:tc>
        <w:tc>
          <w:tcPr>
            <w:tcW w:type="dxa" w:w="2160"/>
          </w:tcPr>
          <w:p>
            <w:r>
              <w:t>"Withdrawal control standard ... cooling periods ... verification for high-value withdrawals"</w:t>
            </w:r>
          </w:p>
        </w:tc>
        <w:tc>
          <w:tcPr>
            <w:tcW w:type="dxa" w:w="2160"/>
          </w:tcPr>
          <w:p>
            <w:r>
              <w:t>TI / Schedule 1 D.2 / Guidance D.2 / p27</w:t>
            </w:r>
          </w:p>
        </w:tc>
        <w:tc>
          <w:tcPr>
            <w:tcW w:type="dxa" w:w="2160"/>
          </w:tcPr>
          <w:p>
            <w:r>
              <w:t>高额提现需分层验证与冷静期控制。</w:t>
            </w:r>
          </w:p>
        </w:tc>
      </w:tr>
    </w:tbl>
    <w:p/>
    <w:p>
      <w:pPr>
        <w:pStyle w:val="Heading1"/>
      </w:pPr>
      <w:r>
        <w:t>5. 标准流程（仅监管流程）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阶段</w:t>
            </w:r>
          </w:p>
        </w:tc>
        <w:tc>
          <w:tcPr>
            <w:tcW w:type="dxa" w:w="1440"/>
          </w:tcPr>
          <w:p>
            <w:r>
              <w:t>流程动作</w:t>
            </w:r>
          </w:p>
        </w:tc>
        <w:tc>
          <w:tcPr>
            <w:tcW w:type="dxa" w:w="1440"/>
          </w:tcPr>
          <w:p>
            <w:r>
              <w:t>监管要求</w:t>
            </w:r>
          </w:p>
        </w:tc>
        <w:tc>
          <w:tcPr>
            <w:tcW w:type="dxa" w:w="1440"/>
          </w:tcPr>
          <w:p>
            <w:r>
              <w:t>通过标准</w:t>
            </w:r>
          </w:p>
        </w:tc>
        <w:tc>
          <w:tcPr>
            <w:tcW w:type="dxa" w:w="1440"/>
          </w:tcPr>
          <w:p>
            <w:r>
              <w:t>不通过处置</w:t>
            </w:r>
          </w:p>
        </w:tc>
        <w:tc>
          <w:tcPr>
            <w:tcW w:type="dxa" w:w="1440"/>
          </w:tcPr>
          <w:p>
            <w:r>
              <w:t>证据输出</w:t>
            </w:r>
          </w:p>
        </w:tc>
      </w:tr>
      <w:tr>
        <w:tc>
          <w:tcPr>
            <w:tcW w:type="dxa" w:w="1440"/>
          </w:tcPr>
          <w:p>
            <w:r>
              <w:t>S1</w:t>
            </w:r>
          </w:p>
        </w:tc>
        <w:tc>
          <w:tcPr>
            <w:tcW w:type="dxa" w:w="1440"/>
          </w:tcPr>
          <w:p>
            <w:r>
              <w:t>接收提现请求</w:t>
            </w:r>
          </w:p>
        </w:tc>
        <w:tc>
          <w:tcPr>
            <w:tcW w:type="dxa" w:w="1440"/>
          </w:tcPr>
          <w:p>
            <w:r>
              <w:t>请求与指令完整（C1/C2）</w:t>
            </w:r>
          </w:p>
        </w:tc>
        <w:tc>
          <w:tcPr>
            <w:tcW w:type="dxa" w:w="1440"/>
          </w:tcPr>
          <w:p>
            <w:r>
              <w:t>请求可验证</w:t>
            </w:r>
          </w:p>
        </w:tc>
        <w:tc>
          <w:tcPr>
            <w:tcW w:type="dxa" w:w="1440"/>
          </w:tcPr>
          <w:p>
            <w:r>
              <w:t>退回补件</w:t>
            </w:r>
          </w:p>
        </w:tc>
        <w:tc>
          <w:tcPr>
            <w:tcW w:type="dxa" w:w="1440"/>
          </w:tcPr>
          <w:p>
            <w:r>
              <w:t>提现申请记录</w:t>
            </w:r>
          </w:p>
        </w:tc>
      </w:tr>
      <w:tr>
        <w:tc>
          <w:tcPr>
            <w:tcW w:type="dxa" w:w="1440"/>
          </w:tcPr>
          <w:p>
            <w:r>
              <w:t>S2</w:t>
            </w:r>
          </w:p>
        </w:tc>
        <w:tc>
          <w:tcPr>
            <w:tcW w:type="dxa" w:w="1440"/>
          </w:tcPr>
          <w:p>
            <w:r>
              <w:t>验证与风控校验</w:t>
            </w:r>
          </w:p>
        </w:tc>
        <w:tc>
          <w:tcPr>
            <w:tcW w:type="dxa" w:w="1440"/>
          </w:tcPr>
          <w:p>
            <w:r>
              <w:t>高额/关键提现加强验证（C5）</w:t>
            </w:r>
          </w:p>
        </w:tc>
        <w:tc>
          <w:tcPr>
            <w:tcW w:type="dxa" w:w="1440"/>
          </w:tcPr>
          <w:p>
            <w:r>
              <w:t>验证通过</w:t>
            </w:r>
          </w:p>
        </w:tc>
        <w:tc>
          <w:tcPr>
            <w:tcW w:type="dxa" w:w="1440"/>
          </w:tcPr>
          <w:p>
            <w:r>
              <w:t>拒绝/挂起</w:t>
            </w:r>
          </w:p>
        </w:tc>
        <w:tc>
          <w:tcPr>
            <w:tcW w:type="dxa" w:w="1440"/>
          </w:tcPr>
          <w:p>
            <w:r>
              <w:t>验证记录</w:t>
            </w:r>
          </w:p>
        </w:tc>
      </w:tr>
      <w:tr>
        <w:tc>
          <w:tcPr>
            <w:tcW w:type="dxa" w:w="1440"/>
          </w:tcPr>
          <w:p>
            <w:r>
              <w:t>S3</w:t>
            </w:r>
          </w:p>
        </w:tc>
        <w:tc>
          <w:tcPr>
            <w:tcW w:type="dxa" w:w="1440"/>
          </w:tcPr>
          <w:p>
            <w:r>
              <w:t>出款执行</w:t>
            </w:r>
          </w:p>
        </w:tc>
        <w:tc>
          <w:tcPr>
            <w:tcW w:type="dxa" w:w="1440"/>
          </w:tcPr>
          <w:p>
            <w:r>
              <w:t>按客户指令执行（C2）</w:t>
            </w:r>
          </w:p>
        </w:tc>
        <w:tc>
          <w:tcPr>
            <w:tcW w:type="dxa" w:w="1440"/>
          </w:tcPr>
          <w:p>
            <w:r>
              <w:t>执行一致</w:t>
            </w:r>
          </w:p>
        </w:tc>
        <w:tc>
          <w:tcPr>
            <w:tcW w:type="dxa" w:w="1440"/>
          </w:tcPr>
          <w:p>
            <w:r>
              <w:t>阻断并复核</w:t>
            </w:r>
          </w:p>
        </w:tc>
        <w:tc>
          <w:tcPr>
            <w:tcW w:type="dxa" w:w="1440"/>
          </w:tcPr>
          <w:p>
            <w:r>
              <w:t>出款流水</w:t>
            </w:r>
          </w:p>
        </w:tc>
      </w:tr>
      <w:tr>
        <w:tc>
          <w:tcPr>
            <w:tcW w:type="dxa" w:w="1440"/>
          </w:tcPr>
          <w:p>
            <w:r>
              <w:t>S4</w:t>
            </w:r>
          </w:p>
        </w:tc>
        <w:tc>
          <w:tcPr>
            <w:tcW w:type="dxa" w:w="1440"/>
          </w:tcPr>
          <w:p>
            <w:r>
              <w:t>日对账与差异识别</w:t>
            </w:r>
          </w:p>
        </w:tc>
        <w:tc>
          <w:tcPr>
            <w:tcW w:type="dxa" w:w="1440"/>
          </w:tcPr>
          <w:p>
            <w:r>
              <w:t>每日对账（C3）</w:t>
            </w:r>
          </w:p>
        </w:tc>
        <w:tc>
          <w:tcPr>
            <w:tcW w:type="dxa" w:w="1440"/>
          </w:tcPr>
          <w:p>
            <w:r>
              <w:t>对账通过</w:t>
            </w:r>
          </w:p>
        </w:tc>
        <w:tc>
          <w:tcPr>
            <w:tcW w:type="dxa" w:w="1440"/>
          </w:tcPr>
          <w:p>
            <w:r>
              <w:t>差异调查</w:t>
            </w:r>
          </w:p>
        </w:tc>
        <w:tc>
          <w:tcPr>
            <w:tcW w:type="dxa" w:w="1440"/>
          </w:tcPr>
          <w:p>
            <w:r>
              <w:t>对账报告</w:t>
            </w:r>
          </w:p>
        </w:tc>
      </w:tr>
      <w:tr>
        <w:tc>
          <w:tcPr>
            <w:tcW w:type="dxa" w:w="1440"/>
          </w:tcPr>
          <w:p>
            <w:r>
              <w:t>S5</w:t>
            </w:r>
          </w:p>
        </w:tc>
        <w:tc>
          <w:tcPr>
            <w:tcW w:type="dxa" w:w="1440"/>
          </w:tcPr>
          <w:p>
            <w:r>
              <w:t>重大差异上报</w:t>
            </w:r>
          </w:p>
        </w:tc>
        <w:tc>
          <w:tcPr>
            <w:tcW w:type="dxa" w:w="1440"/>
          </w:tcPr>
          <w:p>
            <w:r>
              <w:t>重大差异通知VARA（C4）</w:t>
            </w:r>
          </w:p>
        </w:tc>
        <w:tc>
          <w:tcPr>
            <w:tcW w:type="dxa" w:w="1440"/>
          </w:tcPr>
          <w:p>
            <w:r>
              <w:t>按要求上报</w:t>
            </w:r>
          </w:p>
        </w:tc>
        <w:tc>
          <w:tcPr>
            <w:tcW w:type="dxa" w:w="1440"/>
          </w:tcPr>
          <w:p>
            <w:r>
              <w:t>升级整改</w:t>
            </w:r>
          </w:p>
        </w:tc>
        <w:tc>
          <w:tcPr>
            <w:tcW w:type="dxa" w:w="1440"/>
          </w:tcPr>
          <w:p>
            <w:r>
              <w:t>通知与整改记录</w:t>
            </w:r>
          </w:p>
        </w:tc>
      </w:tr>
    </w:tbl>
    <w:p/>
    <w:p>
      <w:pPr>
        <w:pStyle w:val="Heading1"/>
      </w:pPr>
      <w:r>
        <w:t>6. 流程图（ASCII + Mermaid）</w:t>
      </w:r>
    </w:p>
    <w:p>
      <w:r>
        <w:rPr>
          <w:b/>
        </w:rPr>
        <w:t>F-AUD-008-001 — 提现申请与验证流程</w:t>
      </w:r>
    </w:p>
    <w:p>
      <w:r>
        <w:t>requirement_refs: C1/C2/C5</w:t>
      </w:r>
    </w:p>
    <w:p>
      <w:r>
        <w:t>ASCII 流程图：</w:t>
      </w:r>
    </w:p>
    <w:p>
      <w:r>
        <w:rPr>
          <w:rFonts w:ascii="Courier New" w:hAnsi="Courier New" w:eastAsia="Courier New"/>
          <w:sz w:val="19"/>
        </w:rPr>
        <w:t>[Withdrawal Request] -&gt; [Validate Documentation]</w:t>
        <w:br/>
        <w:t xml:space="preserve"> -&gt; [Apply Risk Checks]</w:t>
        <w:br/>
        <w:t xml:space="preserve"> -&gt; {High-value/Critical?}</w:t>
        <w:br/>
        <w:t xml:space="preserve">   Yes -&gt; [Step-up Verification + Cooling]</w:t>
        <w:br/>
        <w:t xml:space="preserve">   No -&gt; [Standard Verification]</w:t>
        <w:br/>
        <w:t xml:space="preserve"> -&gt; [Decision]</w:t>
      </w:r>
    </w:p>
    <w:p>
      <w:r>
        <w:t>Mermaid 代码：</w:t>
      </w:r>
    </w:p>
    <w:p>
      <w:r>
        <w:rPr>
          <w:rFonts w:ascii="Courier New" w:hAnsi="Courier New" w:eastAsia="Courier New"/>
          <w:sz w:val="19"/>
        </w:rPr>
        <w:t>```mermaid</w:t>
        <w:br/>
        <w:t>flowchart TD</w:t>
        <w:br/>
        <w:t>A[Withdrawal Request] --&gt; B[Validate Documentation]</w:t>
        <w:br/>
        <w:t>B --&gt; C[Apply Risk Checks]</w:t>
        <w:br/>
        <w:t>C --&gt; D{High-value or Critical?}</w:t>
        <w:br/>
        <w:t>D -- Yes --&gt; E[Step-up Verification and Cooling]</w:t>
        <w:br/>
        <w:t>D -- No --&gt; F[Standard Verification]</w:t>
        <w:br/>
        <w:t>E --&gt; G[Decision]</w:t>
        <w:br/>
        <w:t>F --&gt; G</w:t>
        <w:br/>
        <w:t>```</w:t>
      </w:r>
    </w:p>
    <w:p>
      <w:r>
        <w:rPr>
          <w:b/>
        </w:rPr>
        <w:t>F-AUD-008-002 — 出款执行与客户指令一致性流程</w:t>
      </w:r>
    </w:p>
    <w:p>
      <w:r>
        <w:t>requirement_refs: C2/C1</w:t>
      </w:r>
    </w:p>
    <w:p>
      <w:r>
        <w:t>ASCII 流程图：</w:t>
      </w:r>
    </w:p>
    <w:p>
      <w:r>
        <w:rPr>
          <w:rFonts w:ascii="Courier New" w:hAnsi="Courier New" w:eastAsia="Courier New"/>
          <w:sz w:val="19"/>
        </w:rPr>
        <w:t>[Approved Withdrawal] -&gt; [Match Client Instruction]</w:t>
        <w:br/>
        <w:t xml:space="preserve"> -&gt; {Match?}</w:t>
        <w:br/>
        <w:t xml:space="preserve">   No -&gt; [Block + Escalate]</w:t>
        <w:br/>
        <w:t xml:space="preserve">   Yes -&gt; [Execute Payout]</w:t>
        <w:br/>
        <w:t xml:space="preserve"> -&gt; [Record Transaction Trail] -&gt; [End]</w:t>
      </w:r>
    </w:p>
    <w:p>
      <w:r>
        <w:t>Mermaid 代码：</w:t>
      </w:r>
    </w:p>
    <w:p>
      <w:r>
        <w:rPr>
          <w:rFonts w:ascii="Courier New" w:hAnsi="Courier New" w:eastAsia="Courier New"/>
          <w:sz w:val="19"/>
        </w:rPr>
        <w:t>```mermaid</w:t>
        <w:br/>
        <w:t>flowchart TD</w:t>
        <w:br/>
        <w:t>A[Approved Withdrawal] --&gt; B[Match Client Instruction]</w:t>
        <w:br/>
        <w:t>B --&gt; C{Match?}</w:t>
        <w:br/>
        <w:t>C -- No --&gt; D[Block and Escalate]</w:t>
        <w:br/>
        <w:t>C -- Yes --&gt; E[Execute Payout]</w:t>
        <w:br/>
        <w:t>E --&gt; F[Record Transaction Trail]</w:t>
        <w:br/>
        <w:t>F --&gt; Z[End]</w:t>
        <w:br/>
        <w:t>D --&gt; Z</w:t>
        <w:br/>
        <w:t>```</w:t>
      </w:r>
    </w:p>
    <w:p>
      <w:r>
        <w:rPr>
          <w:b/>
        </w:rPr>
        <w:t>F-AUD-008-003 — 提现后对账与差异上报流程</w:t>
      </w:r>
    </w:p>
    <w:p>
      <w:r>
        <w:t>requirement_refs: C3/C4</w:t>
      </w:r>
    </w:p>
    <w:p>
      <w:r>
        <w:t>ASCII 流程图：</w:t>
      </w:r>
    </w:p>
    <w:p>
      <w:r>
        <w:rPr>
          <w:rFonts w:ascii="Courier New" w:hAnsi="Courier New" w:eastAsia="Courier New"/>
          <w:sz w:val="19"/>
        </w:rPr>
        <w:t>[Daily Reconciliation] -&gt; [Compare Ledgers vs Accounts]</w:t>
        <w:br/>
        <w:t xml:space="preserve"> -&gt; {Material Discrepancy?}</w:t>
        <w:br/>
        <w:t xml:space="preserve">   No -&gt; [Close Day]</w:t>
        <w:br/>
        <w:t xml:space="preserve">   Yes -&gt; [Notify VARA + Corrective Actions]</w:t>
        <w:br/>
        <w:t xml:space="preserve"> -&gt; [Archive Evidence]</w:t>
      </w:r>
    </w:p>
    <w:p>
      <w:r>
        <w:t>Mermaid 代码：</w:t>
      </w:r>
    </w:p>
    <w:p>
      <w:r>
        <w:rPr>
          <w:rFonts w:ascii="Courier New" w:hAnsi="Courier New" w:eastAsia="Courier New"/>
          <w:sz w:val="19"/>
        </w:rPr>
        <w:t>```mermaid</w:t>
        <w:br/>
        <w:t>flowchart TD</w:t>
        <w:br/>
        <w:t>A[Daily Reconciliation] --&gt; B[Compare Ledgers vs Accounts]</w:t>
        <w:br/>
        <w:t>B --&gt; C{Material Discrepancy?}</w:t>
        <w:br/>
        <w:t>C -- No --&gt; D[Close Day]</w:t>
        <w:br/>
        <w:t>C -- Yes --&gt; E[Notify VARA and Corrective Actions]</w:t>
        <w:br/>
        <w:t>D --&gt; F[Archive Evidence]</w:t>
        <w:br/>
        <w:t>E --&gt; F</w:t>
        <w:br/>
        <w:t>```</w:t>
      </w:r>
    </w:p>
    <w:p>
      <w:pPr>
        <w:pStyle w:val="Heading1"/>
      </w:pPr>
      <w:r>
        <w:t>7. RACI（职责矩阵）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活动</w:t>
            </w:r>
          </w:p>
        </w:tc>
        <w:tc>
          <w:tcPr>
            <w:tcW w:type="dxa" w:w="1234"/>
          </w:tcPr>
          <w:p>
            <w:r>
              <w:t>Board</w:t>
            </w:r>
          </w:p>
        </w:tc>
        <w:tc>
          <w:tcPr>
            <w:tcW w:type="dxa" w:w="1234"/>
          </w:tcPr>
          <w:p>
            <w:r>
              <w:t>Compliance</w:t>
            </w:r>
          </w:p>
        </w:tc>
        <w:tc>
          <w:tcPr>
            <w:tcW w:type="dxa" w:w="1234"/>
          </w:tcPr>
          <w:p>
            <w:r>
              <w:t>Risk/Ops</w:t>
            </w:r>
          </w:p>
        </w:tc>
        <w:tc>
          <w:tcPr>
            <w:tcW w:type="dxa" w:w="1234"/>
          </w:tcPr>
          <w:p>
            <w:r>
              <w:t>Technology</w:t>
            </w:r>
          </w:p>
        </w:tc>
        <w:tc>
          <w:tcPr>
            <w:tcW w:type="dxa" w:w="1234"/>
          </w:tcPr>
          <w:p>
            <w:r>
              <w:t>MLRO</w:t>
            </w:r>
          </w:p>
        </w:tc>
        <w:tc>
          <w:tcPr>
            <w:tcW w:type="dxa" w:w="1234"/>
          </w:tcPr>
          <w:p>
            <w:r>
              <w:t>Internal Audit</w:t>
            </w:r>
          </w:p>
        </w:tc>
      </w:tr>
      <w:tr>
        <w:tc>
          <w:tcPr>
            <w:tcW w:type="dxa" w:w="1234"/>
          </w:tcPr>
          <w:p>
            <w:r>
              <w:t>提现规则与阈值定义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提现验证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出款执行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对账与差异识别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</w:tr>
      <w:tr>
        <w:tc>
          <w:tcPr>
            <w:tcW w:type="dxa" w:w="1234"/>
          </w:tcPr>
          <w:p>
            <w:r>
              <w:t>重大差异上报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R</w:t>
            </w:r>
          </w:p>
        </w:tc>
      </w:tr>
    </w:tbl>
    <w:p/>
    <w:p>
      <w:pPr>
        <w:pStyle w:val="Heading1"/>
      </w:pPr>
      <w:r>
        <w:t>8. 证据与留存要求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证据项</w:t>
            </w:r>
          </w:p>
        </w:tc>
        <w:tc>
          <w:tcPr>
            <w:tcW w:type="dxa" w:w="1728"/>
          </w:tcPr>
          <w:p>
            <w:r>
              <w:t>最低内容</w:t>
            </w:r>
          </w:p>
        </w:tc>
        <w:tc>
          <w:tcPr>
            <w:tcW w:type="dxa" w:w="1728"/>
          </w:tcPr>
          <w:p>
            <w:r>
              <w:t>形成时点</w:t>
            </w:r>
          </w:p>
        </w:tc>
        <w:tc>
          <w:tcPr>
            <w:tcW w:type="dxa" w:w="1728"/>
          </w:tcPr>
          <w:p>
            <w:r>
              <w:t>留存要求</w:t>
            </w:r>
          </w:p>
        </w:tc>
        <w:tc>
          <w:tcPr>
            <w:tcW w:type="dxa" w:w="1728"/>
          </w:tcPr>
          <w:p>
            <w:r>
              <w:t>条款锚点</w:t>
            </w:r>
          </w:p>
        </w:tc>
      </w:tr>
      <w:tr>
        <w:tc>
          <w:tcPr>
            <w:tcW w:type="dxa" w:w="1728"/>
          </w:tcPr>
          <w:p>
            <w:r>
              <w:t>提现申请与文档</w:t>
            </w:r>
          </w:p>
        </w:tc>
        <w:tc>
          <w:tcPr>
            <w:tcW w:type="dxa" w:w="1728"/>
          </w:tcPr>
          <w:p>
            <w:r>
              <w:t>申请内容、支持文档、指令详情</w:t>
            </w:r>
          </w:p>
        </w:tc>
        <w:tc>
          <w:tcPr>
            <w:tcW w:type="dxa" w:w="1728"/>
          </w:tcPr>
          <w:p>
            <w:r>
              <w:t>每次提现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C1/C2</w:t>
            </w:r>
          </w:p>
        </w:tc>
      </w:tr>
      <w:tr>
        <w:tc>
          <w:tcPr>
            <w:tcW w:type="dxa" w:w="1728"/>
          </w:tcPr>
          <w:p>
            <w:r>
              <w:t>验证记录</w:t>
            </w:r>
          </w:p>
        </w:tc>
        <w:tc>
          <w:tcPr>
            <w:tcW w:type="dxa" w:w="1728"/>
          </w:tcPr>
          <w:p>
            <w:r>
              <w:t>标准/增强验证结果</w:t>
            </w:r>
          </w:p>
        </w:tc>
        <w:tc>
          <w:tcPr>
            <w:tcW w:type="dxa" w:w="1728"/>
          </w:tcPr>
          <w:p>
            <w:r>
              <w:t>每次提现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C5</w:t>
            </w:r>
          </w:p>
        </w:tc>
      </w:tr>
      <w:tr>
        <w:tc>
          <w:tcPr>
            <w:tcW w:type="dxa" w:w="1728"/>
          </w:tcPr>
          <w:p>
            <w:r>
              <w:t>出款流水</w:t>
            </w:r>
          </w:p>
        </w:tc>
        <w:tc>
          <w:tcPr>
            <w:tcW w:type="dxa" w:w="1728"/>
          </w:tcPr>
          <w:p>
            <w:r>
              <w:t>执行时间、金额、目标账户</w:t>
            </w:r>
          </w:p>
        </w:tc>
        <w:tc>
          <w:tcPr>
            <w:tcW w:type="dxa" w:w="1728"/>
          </w:tcPr>
          <w:p>
            <w:r>
              <w:t>每次出款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C2</w:t>
            </w:r>
          </w:p>
        </w:tc>
      </w:tr>
      <w:tr>
        <w:tc>
          <w:tcPr>
            <w:tcW w:type="dxa" w:w="1728"/>
          </w:tcPr>
          <w:p>
            <w:r>
              <w:t>日对账报告</w:t>
            </w:r>
          </w:p>
        </w:tc>
        <w:tc>
          <w:tcPr>
            <w:tcW w:type="dxa" w:w="1728"/>
          </w:tcPr>
          <w:p>
            <w:r>
              <w:t>出款相关日对账明细</w:t>
            </w:r>
          </w:p>
        </w:tc>
        <w:tc>
          <w:tcPr>
            <w:tcW w:type="dxa" w:w="1728"/>
          </w:tcPr>
          <w:p>
            <w:r>
              <w:t>每日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C3/C4</w:t>
            </w:r>
          </w:p>
        </w:tc>
      </w:tr>
      <w:tr>
        <w:tc>
          <w:tcPr>
            <w:tcW w:type="dxa" w:w="1728"/>
          </w:tcPr>
          <w:p>
            <w:r>
              <w:t>重大差异通知</w:t>
            </w:r>
          </w:p>
        </w:tc>
        <w:tc>
          <w:tcPr>
            <w:tcW w:type="dxa" w:w="1728"/>
          </w:tcPr>
          <w:p>
            <w:r>
              <w:t>上报内容与整改闭环</w:t>
            </w:r>
          </w:p>
        </w:tc>
        <w:tc>
          <w:tcPr>
            <w:tcW w:type="dxa" w:w="1728"/>
          </w:tcPr>
          <w:p>
            <w:r>
              <w:t>触发时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C4</w:t>
            </w:r>
          </w:p>
        </w:tc>
      </w:tr>
    </w:tbl>
    <w:p/>
    <w:p>
      <w:pPr>
        <w:pStyle w:val="Heading1"/>
      </w:pPr>
      <w:r>
        <w:t>9. 时效与频率要求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控制主题</w:t>
            </w:r>
          </w:p>
        </w:tc>
        <w:tc>
          <w:tcPr>
            <w:tcW w:type="dxa" w:w="2160"/>
          </w:tcPr>
          <w:p>
            <w:r>
              <w:t>要求</w:t>
            </w:r>
          </w:p>
        </w:tc>
        <w:tc>
          <w:tcPr>
            <w:tcW w:type="dxa" w:w="2160"/>
          </w:tcPr>
          <w:p>
            <w:r>
              <w:t>频率/触发</w:t>
            </w:r>
          </w:p>
        </w:tc>
        <w:tc>
          <w:tcPr>
            <w:tcW w:type="dxa" w:w="2160"/>
          </w:tcPr>
          <w:p>
            <w:r>
              <w:t>条款锚点</w:t>
            </w:r>
          </w:p>
        </w:tc>
      </w:tr>
      <w:tr>
        <w:tc>
          <w:tcPr>
            <w:tcW w:type="dxa" w:w="2160"/>
          </w:tcPr>
          <w:p>
            <w:r>
              <w:t>提现验证</w:t>
            </w:r>
          </w:p>
        </w:tc>
        <w:tc>
          <w:tcPr>
            <w:tcW w:type="dxa" w:w="2160"/>
          </w:tcPr>
          <w:p>
            <w:r>
              <w:t>出款前完成</w:t>
            </w:r>
          </w:p>
        </w:tc>
        <w:tc>
          <w:tcPr>
            <w:tcW w:type="dxa" w:w="2160"/>
          </w:tcPr>
          <w:p>
            <w:r>
              <w:t>每次提现</w:t>
            </w:r>
          </w:p>
        </w:tc>
        <w:tc>
          <w:tcPr>
            <w:tcW w:type="dxa" w:w="2160"/>
          </w:tcPr>
          <w:p>
            <w:r>
              <w:t>C1/C5</w:t>
            </w:r>
          </w:p>
        </w:tc>
      </w:tr>
      <w:tr>
        <w:tc>
          <w:tcPr>
            <w:tcW w:type="dxa" w:w="2160"/>
          </w:tcPr>
          <w:p>
            <w:r>
              <w:t>高额提现控制</w:t>
            </w:r>
          </w:p>
        </w:tc>
        <w:tc>
          <w:tcPr>
            <w:tcW w:type="dxa" w:w="2160"/>
          </w:tcPr>
          <w:p>
            <w:r>
              <w:t>按阈值触发增强验证/冷静期</w:t>
            </w:r>
          </w:p>
        </w:tc>
        <w:tc>
          <w:tcPr>
            <w:tcW w:type="dxa" w:w="2160"/>
          </w:tcPr>
          <w:p>
            <w:r>
              <w:t>按触发</w:t>
            </w:r>
          </w:p>
        </w:tc>
        <w:tc>
          <w:tcPr>
            <w:tcW w:type="dxa" w:w="2160"/>
          </w:tcPr>
          <w:p>
            <w:r>
              <w:t>C5</w:t>
            </w:r>
          </w:p>
        </w:tc>
      </w:tr>
      <w:tr>
        <w:tc>
          <w:tcPr>
            <w:tcW w:type="dxa" w:w="2160"/>
          </w:tcPr>
          <w:p>
            <w:r>
              <w:t>对账频率</w:t>
            </w:r>
          </w:p>
        </w:tc>
        <w:tc>
          <w:tcPr>
            <w:tcW w:type="dxa" w:w="2160"/>
          </w:tcPr>
          <w:p>
            <w:r>
              <w:t>每日对账</w:t>
            </w:r>
          </w:p>
        </w:tc>
        <w:tc>
          <w:tcPr>
            <w:tcW w:type="dxa" w:w="2160"/>
          </w:tcPr>
          <w:p>
            <w:r>
              <w:t>每日</w:t>
            </w:r>
          </w:p>
        </w:tc>
        <w:tc>
          <w:tcPr>
            <w:tcW w:type="dxa" w:w="2160"/>
          </w:tcPr>
          <w:p>
            <w:r>
              <w:t>C3</w:t>
            </w:r>
          </w:p>
        </w:tc>
      </w:tr>
      <w:tr>
        <w:tc>
          <w:tcPr>
            <w:tcW w:type="dxa" w:w="2160"/>
          </w:tcPr>
          <w:p>
            <w:r>
              <w:t>重大差异上报</w:t>
            </w:r>
          </w:p>
        </w:tc>
        <w:tc>
          <w:tcPr>
            <w:tcW w:type="dxa" w:w="2160"/>
          </w:tcPr>
          <w:p>
            <w:r>
              <w:t>识别后及时上报</w:t>
            </w:r>
          </w:p>
        </w:tc>
        <w:tc>
          <w:tcPr>
            <w:tcW w:type="dxa" w:w="2160"/>
          </w:tcPr>
          <w:p>
            <w:r>
              <w:t>按触发</w:t>
            </w:r>
          </w:p>
        </w:tc>
        <w:tc>
          <w:tcPr>
            <w:tcW w:type="dxa" w:w="2160"/>
          </w:tcPr>
          <w:p>
            <w:r>
              <w:t>C4</w:t>
            </w:r>
          </w:p>
        </w:tc>
      </w:tr>
    </w:tbl>
    <w:p/>
    <w:p>
      <w:pPr>
        <w:pStyle w:val="Heading1"/>
      </w:pPr>
      <w:r>
        <w:t>10. 提交前自查清单</w:t>
      </w:r>
    </w:p>
    <w:p>
      <w:r>
        <w:t>1. 提现是否全部具备文档支持？</w:t>
      </w:r>
    </w:p>
    <w:p>
      <w:r>
        <w:t>2. 高额/关键提现是否触发增强验证？</w:t>
      </w:r>
    </w:p>
    <w:p>
      <w:r>
        <w:t>3. 出款是否严格按客户指令？</w:t>
      </w:r>
    </w:p>
    <w:p>
      <w:r>
        <w:t>4. 日对账是否覆盖全部提现流水？</w:t>
      </w:r>
    </w:p>
    <w:p>
      <w:r>
        <w:t>5. 重大差异是否按要求上报并留痕？</w:t>
      </w:r>
    </w:p>
    <w:p>
      <w:pPr>
        <w:pStyle w:val="Heading1"/>
      </w:pPr>
      <w:r>
        <w:t>11. 常见不符合项</w:t>
      </w:r>
    </w:p>
    <w:p>
      <w:pPr>
        <w:pStyle w:val="ListBullet"/>
      </w:pPr>
      <w:r>
        <w:t>提现缺少支持文档。</w:t>
      </w:r>
    </w:p>
    <w:p>
      <w:pPr>
        <w:pStyle w:val="ListBullet"/>
      </w:pPr>
      <w:r>
        <w:t>高风险提现未执行增强验证。</w:t>
      </w:r>
    </w:p>
    <w:p>
      <w:pPr>
        <w:pStyle w:val="ListBullet"/>
      </w:pPr>
      <w:r>
        <w:t>出款与客户指令不一致。</w:t>
      </w:r>
    </w:p>
    <w:p>
      <w:pPr>
        <w:pStyle w:val="ListBullet"/>
      </w:pPr>
      <w:r>
        <w:t>重大差异未及时上报。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