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CAP-009_Audit_Compliance_Guide_v2</w:t>
      </w:r>
    </w:p>
    <w:p>
      <w:pPr>
        <w:jc w:val="center"/>
      </w:pPr>
      <w:r>
        <w:t>订单管理系统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CAP-009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订单管理系统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BD Part I.A + Part II.A + CR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CAP-009 订单管理系统的合规流程控制。</w:t>
      </w:r>
    </w:p>
    <w:p>
      <w:pPr>
        <w:pStyle w:val="ListBullet"/>
      </w:pPr>
      <w:r>
        <w:t>覆盖订单接收、路由、客户指定路由处理、订单状态追踪与审计留痕。</w:t>
      </w:r>
    </w:p>
    <w:p>
      <w:pPr>
        <w:pStyle w:val="ListBullet"/>
      </w:pPr>
      <w:r>
        <w:t>与 CAP-010 边界：CAP-009聚焦订单生命周期；CAP-010聚焦最佳执行决策质量。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"written internal policies and procedures ... execution and routing of client orders"</w:t>
            </w:r>
          </w:p>
        </w:tc>
        <w:tc>
          <w:tcPr>
            <w:tcW w:type="dxa" w:w="2160"/>
          </w:tcPr>
          <w:p>
            <w:r>
              <w:t>BD / Part I.A.1(b) / Rule I.A.1(b) / p4</w:t>
            </w:r>
          </w:p>
        </w:tc>
        <w:tc>
          <w:tcPr>
            <w:tcW w:type="dxa" w:w="2160"/>
          </w:tcPr>
          <w:p>
            <w:r>
              <w:t>订单与路由必须有书面流程与控制。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"Rule II.A.1 ... applies to the handling of all orders"</w:t>
            </w:r>
          </w:p>
        </w:tc>
        <w:tc>
          <w:tcPr>
            <w:tcW w:type="dxa" w:w="2160"/>
          </w:tcPr>
          <w:p>
            <w:r>
              <w:t>BD / Part II.A.2 / Rule II.A.2 / p7</w:t>
            </w:r>
          </w:p>
        </w:tc>
        <w:tc>
          <w:tcPr>
            <w:tcW w:type="dxa" w:w="2160"/>
          </w:tcPr>
          <w:p>
            <w:r>
              <w:t>OMS必须覆盖所有订单处理场景。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"unsolicited instruction ... route ... particular Market ..."</w:t>
            </w:r>
          </w:p>
        </w:tc>
        <w:tc>
          <w:tcPr>
            <w:tcW w:type="dxa" w:w="2160"/>
          </w:tcPr>
          <w:p>
            <w:r>
              <w:t>BD / Part II.A.10 / Rule II.A.10 / p9</w:t>
            </w:r>
          </w:p>
        </w:tc>
        <w:tc>
          <w:tcPr>
            <w:tcW w:type="dxa" w:w="2160"/>
          </w:tcPr>
          <w:p>
            <w:r>
              <w:t>客户指定路由场景有特定处理规则。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"document its compliance ... selection of the best Market ..."</w:t>
            </w:r>
          </w:p>
        </w:tc>
        <w:tc>
          <w:tcPr>
            <w:tcW w:type="dxa" w:w="2160"/>
          </w:tcPr>
          <w:p>
            <w:r>
              <w:t>BD / Part II.A.12 / Rule II.A.12 / p9</w:t>
            </w:r>
          </w:p>
        </w:tc>
        <w:tc>
          <w:tcPr>
            <w:tcW w:type="dxa" w:w="2160"/>
          </w:tcPr>
          <w:p>
            <w:r>
              <w:t>订单处理需可文档化证明。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"route their order flows ... must ... review ..."</w:t>
            </w:r>
          </w:p>
        </w:tc>
        <w:tc>
          <w:tcPr>
            <w:tcW w:type="dxa" w:w="2160"/>
          </w:tcPr>
          <w:p>
            <w:r>
              <w:t>BD / Part II.A.14 / Rule II.A.14 / p10</w:t>
            </w:r>
          </w:p>
        </w:tc>
        <w:tc>
          <w:tcPr>
            <w:tcW w:type="dxa" w:w="2160"/>
          </w:tcPr>
          <w:p>
            <w:r>
              <w:t>路由安排变更需记录与复核。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"keep ... books and records ... proper audit trails"</w:t>
            </w:r>
          </w:p>
        </w:tc>
        <w:tc>
          <w:tcPr>
            <w:tcW w:type="dxa" w:w="2160"/>
          </w:tcPr>
          <w:p>
            <w:r>
              <w:t>CR / Part I.F.1 / Rule I.F.1 / p16</w:t>
            </w:r>
          </w:p>
        </w:tc>
        <w:tc>
          <w:tcPr>
            <w:tcW w:type="dxa" w:w="2160"/>
          </w:tcPr>
          <w:p>
            <w:r>
              <w:t>OMS 事件与状态流需形成审计轨迹。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订单接收与校验</w:t>
            </w:r>
          </w:p>
        </w:tc>
        <w:tc>
          <w:tcPr>
            <w:tcW w:type="dxa" w:w="1440"/>
          </w:tcPr>
          <w:p>
            <w:r>
              <w:t>订单处理覆盖全场景（C2）</w:t>
            </w:r>
          </w:p>
        </w:tc>
        <w:tc>
          <w:tcPr>
            <w:tcW w:type="dxa" w:w="1440"/>
          </w:tcPr>
          <w:p>
            <w:r>
              <w:t>订单完整可处理</w:t>
            </w:r>
          </w:p>
        </w:tc>
        <w:tc>
          <w:tcPr>
            <w:tcW w:type="dxa" w:w="1440"/>
          </w:tcPr>
          <w:p>
            <w:r>
              <w:t>拒单并记录</w:t>
            </w:r>
          </w:p>
        </w:tc>
        <w:tc>
          <w:tcPr>
            <w:tcW w:type="dxa" w:w="1440"/>
          </w:tcPr>
          <w:p>
            <w:r>
              <w:t>订单接收日志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路由决策</w:t>
            </w:r>
          </w:p>
        </w:tc>
        <w:tc>
          <w:tcPr>
            <w:tcW w:type="dxa" w:w="1440"/>
          </w:tcPr>
          <w:p>
            <w:r>
              <w:t>按策略或客户指令路由（C1/C3）</w:t>
            </w:r>
          </w:p>
        </w:tc>
        <w:tc>
          <w:tcPr>
            <w:tcW w:type="dxa" w:w="1440"/>
          </w:tcPr>
          <w:p>
            <w:r>
              <w:t>路由可解释</w:t>
            </w:r>
          </w:p>
        </w:tc>
        <w:tc>
          <w:tcPr>
            <w:tcW w:type="dxa" w:w="1440"/>
          </w:tcPr>
          <w:p>
            <w:r>
              <w:t>路由阻断</w:t>
            </w:r>
          </w:p>
        </w:tc>
        <w:tc>
          <w:tcPr>
            <w:tcW w:type="dxa" w:w="1440"/>
          </w:tcPr>
          <w:p>
            <w:r>
              <w:t>路由决策记录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状态追踪</w:t>
            </w:r>
          </w:p>
        </w:tc>
        <w:tc>
          <w:tcPr>
            <w:tcW w:type="dxa" w:w="1440"/>
          </w:tcPr>
          <w:p>
            <w:r>
              <w:t>状态流转可回放（C6）</w:t>
            </w:r>
          </w:p>
        </w:tc>
        <w:tc>
          <w:tcPr>
            <w:tcW w:type="dxa" w:w="1440"/>
          </w:tcPr>
          <w:p>
            <w:r>
              <w:t>状态一致</w:t>
            </w:r>
          </w:p>
        </w:tc>
        <w:tc>
          <w:tcPr>
            <w:tcW w:type="dxa" w:w="1440"/>
          </w:tcPr>
          <w:p>
            <w:r>
              <w:t>异常修复</w:t>
            </w:r>
          </w:p>
        </w:tc>
        <w:tc>
          <w:tcPr>
            <w:tcW w:type="dxa" w:w="1440"/>
          </w:tcPr>
          <w:p>
            <w:r>
              <w:t>状态变更日志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合规文档化</w:t>
            </w:r>
          </w:p>
        </w:tc>
        <w:tc>
          <w:tcPr>
            <w:tcW w:type="dxa" w:w="1440"/>
          </w:tcPr>
          <w:p>
            <w:r>
              <w:t>可证明路由与处理合规（C4）</w:t>
            </w:r>
          </w:p>
        </w:tc>
        <w:tc>
          <w:tcPr>
            <w:tcW w:type="dxa" w:w="1440"/>
          </w:tcPr>
          <w:p>
            <w:r>
              <w:t>文档完备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合规证明包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路由安排复核</w:t>
            </w:r>
          </w:p>
        </w:tc>
        <w:tc>
          <w:tcPr>
            <w:tcW w:type="dxa" w:w="1440"/>
          </w:tcPr>
          <w:p>
            <w:r>
              <w:t>路由质量与安排更新（C5）</w:t>
            </w:r>
          </w:p>
        </w:tc>
        <w:tc>
          <w:tcPr>
            <w:tcW w:type="dxa" w:w="1440"/>
          </w:tcPr>
          <w:p>
            <w:r>
              <w:t>复核完成</w:t>
            </w:r>
          </w:p>
        </w:tc>
        <w:tc>
          <w:tcPr>
            <w:tcW w:type="dxa" w:w="1440"/>
          </w:tcPr>
          <w:p>
            <w:r>
              <w:t>升级整改</w:t>
            </w:r>
          </w:p>
        </w:tc>
        <w:tc>
          <w:tcPr>
            <w:tcW w:type="dxa" w:w="1440"/>
          </w:tcPr>
          <w:p>
            <w:r>
              <w:t>复核报告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F-AUD-009-001 — 订单接收与路由流程</w:t>
      </w:r>
    </w:p>
    <w:p>
      <w:r>
        <w:t>requirement_refs: C1/C2/C3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[Order Received] -&gt; [Validate Order Payload]</w:t>
        <w:br/>
        <w:t xml:space="preserve"> -&gt; [Check Client Routing Instruction]</w:t>
        <w:br/>
        <w:t xml:space="preserve"> -&gt; {Client Directed?}</w:t>
        <w:br/>
        <w:t xml:space="preserve">   Yes -&gt; [Route as Directed Rule]</w:t>
        <w:br/>
        <w:t xml:space="preserve">   No -&gt; [Route by Policy]</w:t>
        <w:br/>
        <w:t xml:space="preserve"> -&gt; [Record Route Decision]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A[Order Received] --&gt; B[Validate Order Payload]</w:t>
        <w:br/>
        <w:t>B --&gt; C[Check Client Routing Instruction]</w:t>
        <w:br/>
        <w:t>C --&gt; D{Client Directed?}</w:t>
        <w:br/>
        <w:t>D -- Yes --&gt; E[Route as Directed Rule]</w:t>
        <w:br/>
        <w:t>D -- No --&gt; F[Route by Policy]</w:t>
        <w:br/>
        <w:t>E --&gt; G[Record Route Decision]</w:t>
        <w:br/>
        <w:t>F --&gt; G</w:t>
        <w:br/>
        <w:t>G --&gt; Z[End]</w:t>
        <w:br/>
        <w:t>```</w:t>
      </w:r>
    </w:p>
    <w:p>
      <w:r>
        <w:rPr>
          <w:b/>
        </w:rPr>
        <w:t>F-AUD-009-002 — 订单状态生命周期流程</w:t>
      </w:r>
    </w:p>
    <w:p>
      <w:r>
        <w:t>requirement_refs: C2/C6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[Accepted] -&gt; [Routed] -&gt; [Executed/Rejected]</w:t>
        <w:br/>
        <w:t xml:space="preserve"> -&gt; [Confirmed] -&gt; [Archived]</w:t>
        <w:br/>
        <w:t xml:space="preserve"> (every transition logged with timestamp and actor)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A[Accepted] --&gt; B[Routed]</w:t>
        <w:br/>
        <w:t>B --&gt; C[Executed or Rejected]</w:t>
        <w:br/>
        <w:t>C --&gt; D[Confirmed]</w:t>
        <w:br/>
        <w:t>D --&gt; E[Archived]</w:t>
        <w:br/>
        <w:t>A -.log.-&gt; E</w:t>
        <w:br/>
        <w:t>B -.log.-&gt; E</w:t>
        <w:br/>
        <w:t>C -.log.-&gt; E</w:t>
        <w:br/>
        <w:t>D -.log.-&gt; E</w:t>
        <w:br/>
        <w:t>```</w:t>
      </w:r>
    </w:p>
    <w:p>
      <w:r>
        <w:rPr>
          <w:b/>
        </w:rPr>
        <w:t>F-AUD-009-003 — 路由安排复核流程</w:t>
      </w:r>
    </w:p>
    <w:p>
      <w:r>
        <w:t>requirement_refs: C4/C5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[Periodic Review Trigger] -&gt; [Collect Routing Outcomes]</w:t>
        <w:br/>
        <w:t xml:space="preserve"> -&gt; [Assess Material Differences]</w:t>
        <w:br/>
        <w:t xml:space="preserve"> -&gt; {Need Change?}</w:t>
        <w:br/>
        <w:t xml:space="preserve">   No -&gt; [Document Rationale]</w:t>
        <w:br/>
        <w:t xml:space="preserve">   Yes -&gt; [Modify Routing Arrangements]</w:t>
        <w:br/>
        <w:t xml:space="preserve"> -&gt; [Approval + 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A[Periodic Review Trigger] --&gt; B[Collect Routing Outcomes]</w:t>
        <w:br/>
        <w:t>B --&gt; C[Assess Material Differences]</w:t>
        <w:br/>
        <w:t>C --&gt; D{Need Change?}</w:t>
        <w:br/>
        <w:t>D -- No --&gt; E[Document Rationale]</w:t>
        <w:br/>
        <w:t>D -- Yes --&gt; F[Modify Routing Arrangements]</w:t>
        <w:br/>
        <w:t>E --&gt; G[Approval and Archive]</w:t>
        <w:br/>
        <w:t>F --&gt; G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OMS策略定义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订单接收与校验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路由执行与记录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状态追踪与归档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订单接收日志</w:t>
            </w:r>
          </w:p>
        </w:tc>
        <w:tc>
          <w:tcPr>
            <w:tcW w:type="dxa" w:w="1728"/>
          </w:tcPr>
          <w:p>
            <w:r>
              <w:t>订单内容、接收时间、校验结果</w:t>
            </w:r>
          </w:p>
        </w:tc>
        <w:tc>
          <w:tcPr>
            <w:tcW w:type="dxa" w:w="1728"/>
          </w:tcPr>
          <w:p>
            <w:r>
              <w:t>每笔订单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C2/C6</w:t>
            </w:r>
          </w:p>
        </w:tc>
      </w:tr>
      <w:tr>
        <w:tc>
          <w:tcPr>
            <w:tcW w:type="dxa" w:w="1728"/>
          </w:tcPr>
          <w:p>
            <w:r>
              <w:t>路由决策记录</w:t>
            </w:r>
          </w:p>
        </w:tc>
        <w:tc>
          <w:tcPr>
            <w:tcW w:type="dxa" w:w="1728"/>
          </w:tcPr>
          <w:p>
            <w:r>
              <w:t>路由路径、原因、指令来源</w:t>
            </w:r>
          </w:p>
        </w:tc>
        <w:tc>
          <w:tcPr>
            <w:tcW w:type="dxa" w:w="1728"/>
          </w:tcPr>
          <w:p>
            <w:r>
              <w:t>每笔订单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C1/C3/C6</w:t>
            </w:r>
          </w:p>
        </w:tc>
      </w:tr>
      <w:tr>
        <w:tc>
          <w:tcPr>
            <w:tcW w:type="dxa" w:w="1728"/>
          </w:tcPr>
          <w:p>
            <w:r>
              <w:t>状态流转日志</w:t>
            </w:r>
          </w:p>
        </w:tc>
        <w:tc>
          <w:tcPr>
            <w:tcW w:type="dxa" w:w="1728"/>
          </w:tcPr>
          <w:p>
            <w:r>
              <w:t>全状态与时间戳</w:t>
            </w:r>
          </w:p>
        </w:tc>
        <w:tc>
          <w:tcPr>
            <w:tcW w:type="dxa" w:w="1728"/>
          </w:tcPr>
          <w:p>
            <w:r>
              <w:t>每笔订单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C6</w:t>
            </w:r>
          </w:p>
        </w:tc>
      </w:tr>
      <w:tr>
        <w:tc>
          <w:tcPr>
            <w:tcW w:type="dxa" w:w="1728"/>
          </w:tcPr>
          <w:p>
            <w:r>
              <w:t>路由复核报告</w:t>
            </w:r>
          </w:p>
        </w:tc>
        <w:tc>
          <w:tcPr>
            <w:tcW w:type="dxa" w:w="1728"/>
          </w:tcPr>
          <w:p>
            <w:r>
              <w:t>结果、差异、调整动作</w:t>
            </w:r>
          </w:p>
        </w:tc>
        <w:tc>
          <w:tcPr>
            <w:tcW w:type="dxa" w:w="1728"/>
          </w:tcPr>
          <w:p>
            <w:r>
              <w:t>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C4/C5/C6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订单校验</w:t>
            </w:r>
          </w:p>
        </w:tc>
        <w:tc>
          <w:tcPr>
            <w:tcW w:type="dxa" w:w="2160"/>
          </w:tcPr>
          <w:p>
            <w:r>
              <w:t>接收后即时</w:t>
            </w:r>
          </w:p>
        </w:tc>
        <w:tc>
          <w:tcPr>
            <w:tcW w:type="dxa" w:w="2160"/>
          </w:tcPr>
          <w:p>
            <w:r>
              <w:t>每笔订单</w:t>
            </w:r>
          </w:p>
        </w:tc>
        <w:tc>
          <w:tcPr>
            <w:tcW w:type="dxa" w:w="2160"/>
          </w:tcPr>
          <w:p>
            <w:r>
              <w:t>C2</w:t>
            </w:r>
          </w:p>
        </w:tc>
      </w:tr>
      <w:tr>
        <w:tc>
          <w:tcPr>
            <w:tcW w:type="dxa" w:w="2160"/>
          </w:tcPr>
          <w:p>
            <w:r>
              <w:t>路由记录</w:t>
            </w:r>
          </w:p>
        </w:tc>
        <w:tc>
          <w:tcPr>
            <w:tcW w:type="dxa" w:w="2160"/>
          </w:tcPr>
          <w:p>
            <w:r>
              <w:t>决策时即时记录</w:t>
            </w:r>
          </w:p>
        </w:tc>
        <w:tc>
          <w:tcPr>
            <w:tcW w:type="dxa" w:w="2160"/>
          </w:tcPr>
          <w:p>
            <w:r>
              <w:t>每笔订单</w:t>
            </w:r>
          </w:p>
        </w:tc>
        <w:tc>
          <w:tcPr>
            <w:tcW w:type="dxa" w:w="2160"/>
          </w:tcPr>
          <w:p>
            <w:r>
              <w:t>C1/C3</w:t>
            </w:r>
          </w:p>
        </w:tc>
      </w:tr>
      <w:tr>
        <w:tc>
          <w:tcPr>
            <w:tcW w:type="dxa" w:w="2160"/>
          </w:tcPr>
          <w:p>
            <w:r>
              <w:t>复核频率</w:t>
            </w:r>
          </w:p>
        </w:tc>
        <w:tc>
          <w:tcPr>
            <w:tcW w:type="dxa" w:w="2160"/>
          </w:tcPr>
          <w:p>
            <w:r>
              <w:t>按策略周期执行</w:t>
            </w:r>
          </w:p>
        </w:tc>
        <w:tc>
          <w:tcPr>
            <w:tcW w:type="dxa" w:w="2160"/>
          </w:tcPr>
          <w:p>
            <w:r>
              <w:t>季度/定期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是否覆盖所有订单处理场景？</w:t>
      </w:r>
    </w:p>
    <w:p>
      <w:r>
        <w:t>2. 客户指定路由是否按规则处理并留痕？</w:t>
      </w:r>
    </w:p>
    <w:p>
      <w:r>
        <w:t>3. 订单状态流转是否可完整回放？</w:t>
      </w:r>
    </w:p>
    <w:p>
      <w:r>
        <w:t>4. 路由安排是否有周期复核与结论？</w:t>
      </w:r>
    </w:p>
    <w:p>
      <w:r>
        <w:t>5. OMS证据是否满足抽检导出要求？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订单状态日志缺失或断链。</w:t>
      </w:r>
    </w:p>
    <w:p>
      <w:pPr>
        <w:pStyle w:val="ListBullet"/>
      </w:pPr>
      <w:r>
        <w:t>客户指定路由处理不一致。</w:t>
      </w:r>
    </w:p>
    <w:p>
      <w:pPr>
        <w:pStyle w:val="ListBullet"/>
      </w:pPr>
      <w:r>
        <w:t>路由复核无文档化结果。</w:t>
      </w:r>
    </w:p>
    <w:p>
      <w:pPr>
        <w:pStyle w:val="ListBullet"/>
      </w:pPr>
      <w:r>
        <w:t>关键决策无审计轨迹。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