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CAP-010_Audit_Compliance_Guide_v2</w:t>
      </w:r>
    </w:p>
    <w:p>
      <w:pPr>
        <w:jc w:val="center"/>
      </w:pPr>
      <w:r>
        <w:t>最佳执行引擎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CAP-010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最佳执行引擎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BD Part II.A + CR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CAP-010 最佳执行引擎的合规控制要求。</w:t>
      </w:r>
    </w:p>
    <w:p>
      <w:pPr>
        <w:pStyle w:val="ListBullet"/>
      </w:pPr>
      <w:r>
        <w:t>覆盖 best execution 因素、off-market 场景责任、执行质量复核与调整闭环。</w:t>
      </w:r>
    </w:p>
    <w:p>
      <w:pPr>
        <w:pStyle w:val="ListBullet"/>
      </w:pPr>
      <w:r>
        <w:t>与 CAP-009 边界：CAP-010专注“执行质量最优性判断与证明”。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"exercise reasonable diligence ... obtain the most favourable price ... best possible result"</w:t>
            </w:r>
          </w:p>
        </w:tc>
        <w:tc>
          <w:tcPr>
            <w:tcW w:type="dxa" w:w="2160"/>
          </w:tcPr>
          <w:p>
            <w:r>
              <w:t>BD / Part II.A.1 / Rule II.A.1 / p7</w:t>
            </w:r>
          </w:p>
        </w:tc>
        <w:tc>
          <w:tcPr>
            <w:tcW w:type="dxa" w:w="2160"/>
          </w:tcPr>
          <w:p>
            <w:r>
              <w:t>最佳执行核心义务：合理勤勉与最优结果。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"factors ... characteristics of the Market ... size and type ... liquidity ..."</w:t>
            </w:r>
          </w:p>
        </w:tc>
        <w:tc>
          <w:tcPr>
            <w:tcW w:type="dxa" w:w="2160"/>
          </w:tcPr>
          <w:p>
            <w:r>
              <w:t>BD / Part II.A.4 / Rule II.A.4 / p8</w:t>
            </w:r>
          </w:p>
        </w:tc>
        <w:tc>
          <w:tcPr>
            <w:tcW w:type="dxa" w:w="2160"/>
          </w:tcPr>
          <w:p>
            <w:r>
              <w:t>最佳执行需综合多因素评估。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"off-Market ... burden of demonstrating compliance ... remains with the VASP"</w:t>
            </w:r>
          </w:p>
        </w:tc>
        <w:tc>
          <w:tcPr>
            <w:tcW w:type="dxa" w:w="2160"/>
          </w:tcPr>
          <w:p>
            <w:r>
              <w:t>BD / Part II.A.5 / Rule II.A.5 / p8</w:t>
            </w:r>
          </w:p>
        </w:tc>
        <w:tc>
          <w:tcPr>
            <w:tcW w:type="dxa" w:w="2160"/>
          </w:tcPr>
          <w:p>
            <w:r>
              <w:t>场外执行责任不可转移。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"document its compliance ... selection of the best Market ..."</w:t>
            </w:r>
          </w:p>
        </w:tc>
        <w:tc>
          <w:tcPr>
            <w:tcW w:type="dxa" w:w="2160"/>
          </w:tcPr>
          <w:p>
            <w:r>
              <w:t>BD / Part II.A.12 / Rule II.A.12 / p9</w:t>
            </w:r>
          </w:p>
        </w:tc>
        <w:tc>
          <w:tcPr>
            <w:tcW w:type="dxa" w:w="2160"/>
          </w:tcPr>
          <w:p>
            <w:r>
              <w:t>最佳执行证据必须可文档化。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"review (at least quarterly) the quality of Execution ..."</w:t>
            </w:r>
          </w:p>
        </w:tc>
        <w:tc>
          <w:tcPr>
            <w:tcW w:type="dxa" w:w="2160"/>
          </w:tcPr>
          <w:p>
            <w:r>
              <w:t>BD / Part II.A.13 / Rule II.A.13 / p9</w:t>
            </w:r>
          </w:p>
        </w:tc>
        <w:tc>
          <w:tcPr>
            <w:tcW w:type="dxa" w:w="2160"/>
          </w:tcPr>
          <w:p>
            <w:r>
              <w:t>执行质量至少季度复核。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"keep ... books and records ... proper audit trails"</w:t>
            </w:r>
          </w:p>
        </w:tc>
        <w:tc>
          <w:tcPr>
            <w:tcW w:type="dxa" w:w="2160"/>
          </w:tcPr>
          <w:p>
            <w:r>
              <w:t>CR / Part I.F.1 / Rule I.F.1 / p16</w:t>
            </w:r>
          </w:p>
        </w:tc>
        <w:tc>
          <w:tcPr>
            <w:tcW w:type="dxa" w:w="2160"/>
          </w:tcPr>
          <w:p>
            <w:r>
              <w:t>最佳执行过程需完整审计轨迹。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执行前评估</w:t>
            </w:r>
          </w:p>
        </w:tc>
        <w:tc>
          <w:tcPr>
            <w:tcW w:type="dxa" w:w="1440"/>
          </w:tcPr>
          <w:p>
            <w:r>
              <w:t>合理勤勉+因素评估（C1/C2）</w:t>
            </w:r>
          </w:p>
        </w:tc>
        <w:tc>
          <w:tcPr>
            <w:tcW w:type="dxa" w:w="1440"/>
          </w:tcPr>
          <w:p>
            <w:r>
              <w:t>决策可解释</w:t>
            </w:r>
          </w:p>
        </w:tc>
        <w:tc>
          <w:tcPr>
            <w:tcW w:type="dxa" w:w="1440"/>
          </w:tcPr>
          <w:p>
            <w:r>
              <w:t>拒绝执行</w:t>
            </w:r>
          </w:p>
        </w:tc>
        <w:tc>
          <w:tcPr>
            <w:tcW w:type="dxa" w:w="1440"/>
          </w:tcPr>
          <w:p>
            <w:r>
              <w:t>评估记录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执行路径选择</w:t>
            </w:r>
          </w:p>
        </w:tc>
        <w:tc>
          <w:tcPr>
            <w:tcW w:type="dxa" w:w="1440"/>
          </w:tcPr>
          <w:p>
            <w:r>
              <w:t>最优市场/流动性来源选择（C2）</w:t>
            </w:r>
          </w:p>
        </w:tc>
        <w:tc>
          <w:tcPr>
            <w:tcW w:type="dxa" w:w="1440"/>
          </w:tcPr>
          <w:p>
            <w:r>
              <w:t>路径合理</w:t>
            </w:r>
          </w:p>
        </w:tc>
        <w:tc>
          <w:tcPr>
            <w:tcW w:type="dxa" w:w="1440"/>
          </w:tcPr>
          <w:p>
            <w:r>
              <w:t>升级复审</w:t>
            </w:r>
          </w:p>
        </w:tc>
        <w:tc>
          <w:tcPr>
            <w:tcW w:type="dxa" w:w="1440"/>
          </w:tcPr>
          <w:p>
            <w:r>
              <w:t>路径选择记录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场外执行责任证明</w:t>
            </w:r>
          </w:p>
        </w:tc>
        <w:tc>
          <w:tcPr>
            <w:tcW w:type="dxa" w:w="1440"/>
          </w:tcPr>
          <w:p>
            <w:r>
              <w:t>off-market责任自证（C3）</w:t>
            </w:r>
          </w:p>
        </w:tc>
        <w:tc>
          <w:tcPr>
            <w:tcW w:type="dxa" w:w="1440"/>
          </w:tcPr>
          <w:p>
            <w:r>
              <w:t>证据充分</w:t>
            </w:r>
          </w:p>
        </w:tc>
        <w:tc>
          <w:tcPr>
            <w:tcW w:type="dxa" w:w="1440"/>
          </w:tcPr>
          <w:p>
            <w:r>
              <w:t>补证或整改</w:t>
            </w:r>
          </w:p>
        </w:tc>
        <w:tc>
          <w:tcPr>
            <w:tcW w:type="dxa" w:w="1440"/>
          </w:tcPr>
          <w:p>
            <w:r>
              <w:t>场外执行证明包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执行质量复核</w:t>
            </w:r>
          </w:p>
        </w:tc>
        <w:tc>
          <w:tcPr>
            <w:tcW w:type="dxa" w:w="1440"/>
          </w:tcPr>
          <w:p>
            <w:r>
              <w:t>至少季度复核（C5）</w:t>
            </w:r>
          </w:p>
        </w:tc>
        <w:tc>
          <w:tcPr>
            <w:tcW w:type="dxa" w:w="1440"/>
          </w:tcPr>
          <w:p>
            <w:r>
              <w:t>复核按时完成</w:t>
            </w:r>
          </w:p>
        </w:tc>
        <w:tc>
          <w:tcPr>
            <w:tcW w:type="dxa" w:w="1440"/>
          </w:tcPr>
          <w:p>
            <w:r>
              <w:t>调整路由</w:t>
            </w:r>
          </w:p>
        </w:tc>
        <w:tc>
          <w:tcPr>
            <w:tcW w:type="dxa" w:w="1440"/>
          </w:tcPr>
          <w:p>
            <w:r>
              <w:t>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文档化与留痕</w:t>
            </w:r>
          </w:p>
        </w:tc>
        <w:tc>
          <w:tcPr>
            <w:tcW w:type="dxa" w:w="1440"/>
          </w:tcPr>
          <w:p>
            <w:r>
              <w:t>全流程可审计（C4/C6）</w:t>
            </w:r>
          </w:p>
        </w:tc>
        <w:tc>
          <w:tcPr>
            <w:tcW w:type="dxa" w:w="1440"/>
          </w:tcPr>
          <w:p>
            <w:r>
              <w:t>可导出抽检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审计轨迹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F-AUD-010-001 — 最佳执行决策流程</w:t>
      </w:r>
    </w:p>
    <w:p>
      <w:r>
        <w:t>requirement_refs: C1/C2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[Order Input] -&gt; [Evaluate Execution Factors]</w:t>
        <w:br/>
        <w:t xml:space="preserve"> -&gt; [Select Best Market/Source]</w:t>
        <w:br/>
        <w:t xml:space="preserve"> -&gt; [Execute]</w:t>
        <w:br/>
        <w:t xml:space="preserve"> -&gt; [Capture Decision Rationale]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A[Order Input] --&gt; B[Evaluate Execution Factors]</w:t>
        <w:br/>
        <w:t>B --&gt; C[Select Best Market or Source]</w:t>
        <w:br/>
        <w:t>C --&gt; D[Execute]</w:t>
        <w:br/>
        <w:t>D --&gt; E[Capture Decision Rationale]</w:t>
        <w:br/>
        <w:t>E --&gt; Z[End]</w:t>
        <w:br/>
        <w:t>```</w:t>
      </w:r>
    </w:p>
    <w:p>
      <w:r>
        <w:rPr>
          <w:b/>
        </w:rPr>
        <w:t>F-AUD-010-002 — 场外执行责任证明流程</w:t>
      </w:r>
    </w:p>
    <w:p>
      <w:r>
        <w:t>requirement_refs: 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[Off-market Execution] -&gt; [Collect Comparator Data]</w:t>
        <w:br/>
        <w:t xml:space="preserve"> -&gt; [Assess Best-execution Compliance]</w:t>
        <w:br/>
        <w:t xml:space="preserve"> -&gt; [Store Evidence Bundle]</w:t>
        <w:br/>
        <w:t xml:space="preserve"> -&gt; [Audit Ready]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A[Off-market Execution] --&gt; B[Collect Comparator Data]</w:t>
        <w:br/>
        <w:t>B --&gt; C[Assess Best-execution Compliance]</w:t>
        <w:br/>
        <w:t>C --&gt; D[Store Evidence Bundle]</w:t>
        <w:br/>
        <w:t>D --&gt; E[Audit Ready]</w:t>
        <w:br/>
        <w:t>```</w:t>
      </w:r>
    </w:p>
    <w:p>
      <w:r>
        <w:rPr>
          <w:b/>
        </w:rPr>
        <w:t>F-AUD-010-003 — 季度执行质量复核流程</w:t>
      </w:r>
    </w:p>
    <w:p>
      <w:r>
        <w:t>requirement_refs: C5/C6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[Quarterly Trigger] -&gt; [Aggregate Execution Outcomes]</w:t>
        <w:br/>
        <w:t xml:space="preserve"> -&gt; [Compare with Alternative Sources]</w:t>
        <w:br/>
        <w:t xml:space="preserve"> -&gt; {Material Gap?}</w:t>
        <w:br/>
        <w:t xml:space="preserve">   No -&gt; [Document Justification]</w:t>
        <w:br/>
        <w:t xml:space="preserve">   Yes -&gt; [Adjust Arrangements]</w:t>
        <w:br/>
        <w:t xml:space="preserve"> -&gt; [Approve + 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A[Quarterly Trigger] --&gt; B[Aggregate Execution Outcomes]</w:t>
        <w:br/>
        <w:t>B --&gt; C[Compare with Alternative Sources]</w:t>
        <w:br/>
        <w:t>C --&gt; D{Material Gap?}</w:t>
        <w:br/>
        <w:t>D -- No --&gt; E[Document Justification]</w:t>
        <w:br/>
        <w:t>D -- Yes --&gt; F[Adjust Arrangements]</w:t>
        <w:br/>
        <w:t>E --&gt; G[Approve and Archive]</w:t>
        <w:br/>
        <w:t>F --&gt; G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最佳执行策略维护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单笔执行决策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场外执行证据整理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季度执行质量复核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整改与安排调整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执行前评估记录</w:t>
            </w:r>
          </w:p>
        </w:tc>
        <w:tc>
          <w:tcPr>
            <w:tcW w:type="dxa" w:w="1728"/>
          </w:tcPr>
          <w:p>
            <w:r>
              <w:t>因素输入、权重、结论</w:t>
            </w:r>
          </w:p>
        </w:tc>
        <w:tc>
          <w:tcPr>
            <w:tcW w:type="dxa" w:w="1728"/>
          </w:tcPr>
          <w:p>
            <w:r>
              <w:t>每笔订单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C1/C2/C6</w:t>
            </w:r>
          </w:p>
        </w:tc>
      </w:tr>
      <w:tr>
        <w:tc>
          <w:tcPr>
            <w:tcW w:type="dxa" w:w="1728"/>
          </w:tcPr>
          <w:p>
            <w:r>
              <w:t>最佳市场选择记录</w:t>
            </w:r>
          </w:p>
        </w:tc>
        <w:tc>
          <w:tcPr>
            <w:tcW w:type="dxa" w:w="1728"/>
          </w:tcPr>
          <w:p>
            <w:r>
              <w:t>候选来源比较与选择理由</w:t>
            </w:r>
          </w:p>
        </w:tc>
        <w:tc>
          <w:tcPr>
            <w:tcW w:type="dxa" w:w="1728"/>
          </w:tcPr>
          <w:p>
            <w:r>
              <w:t>每笔订单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C2/C4/C6</w:t>
            </w:r>
          </w:p>
        </w:tc>
      </w:tr>
      <w:tr>
        <w:tc>
          <w:tcPr>
            <w:tcW w:type="dxa" w:w="1728"/>
          </w:tcPr>
          <w:p>
            <w:r>
              <w:t>场外执行证明包</w:t>
            </w:r>
          </w:p>
        </w:tc>
        <w:tc>
          <w:tcPr>
            <w:tcW w:type="dxa" w:w="1728"/>
          </w:tcPr>
          <w:p>
            <w:r>
              <w:t>比较数据、合规论证、审批</w:t>
            </w:r>
          </w:p>
        </w:tc>
        <w:tc>
          <w:tcPr>
            <w:tcW w:type="dxa" w:w="1728"/>
          </w:tcPr>
          <w:p>
            <w:r>
              <w:t>每笔场外执行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C3/C4/C6</w:t>
            </w:r>
          </w:p>
        </w:tc>
      </w:tr>
      <w:tr>
        <w:tc>
          <w:tcPr>
            <w:tcW w:type="dxa" w:w="1728"/>
          </w:tcPr>
          <w:p>
            <w:r>
              <w:t>季度质量复核报告</w:t>
            </w:r>
          </w:p>
        </w:tc>
        <w:tc>
          <w:tcPr>
            <w:tcW w:type="dxa" w:w="1728"/>
          </w:tcPr>
          <w:p>
            <w:r>
              <w:t>质量差异、调整决策、理由</w:t>
            </w:r>
          </w:p>
        </w:tc>
        <w:tc>
          <w:tcPr>
            <w:tcW w:type="dxa" w:w="1728"/>
          </w:tcPr>
          <w:p>
            <w:r>
              <w:t>每季度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执行评估</w:t>
            </w:r>
          </w:p>
        </w:tc>
        <w:tc>
          <w:tcPr>
            <w:tcW w:type="dxa" w:w="2160"/>
          </w:tcPr>
          <w:p>
            <w:r>
              <w:t>执行前完成</w:t>
            </w:r>
          </w:p>
        </w:tc>
        <w:tc>
          <w:tcPr>
            <w:tcW w:type="dxa" w:w="2160"/>
          </w:tcPr>
          <w:p>
            <w:r>
              <w:t>每笔订单</w:t>
            </w:r>
          </w:p>
        </w:tc>
        <w:tc>
          <w:tcPr>
            <w:tcW w:type="dxa" w:w="2160"/>
          </w:tcPr>
          <w:p>
            <w:r>
              <w:t>C1/C2</w:t>
            </w:r>
          </w:p>
        </w:tc>
      </w:tr>
      <w:tr>
        <w:tc>
          <w:tcPr>
            <w:tcW w:type="dxa" w:w="2160"/>
          </w:tcPr>
          <w:p>
            <w:r>
              <w:t>场外执行举证</w:t>
            </w:r>
          </w:p>
        </w:tc>
        <w:tc>
          <w:tcPr>
            <w:tcW w:type="dxa" w:w="2160"/>
          </w:tcPr>
          <w:p>
            <w:r>
              <w:t>执行后立即归档</w:t>
            </w:r>
          </w:p>
        </w:tc>
        <w:tc>
          <w:tcPr>
            <w:tcW w:type="dxa" w:w="2160"/>
          </w:tcPr>
          <w:p>
            <w:r>
              <w:t>每笔场外执行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质量复核</w:t>
            </w:r>
          </w:p>
        </w:tc>
        <w:tc>
          <w:tcPr>
            <w:tcW w:type="dxa" w:w="2160"/>
          </w:tcPr>
          <w:p>
            <w:r>
              <w:t>至少季度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是否对每笔执行保留可解释决策依据？</w:t>
      </w:r>
    </w:p>
    <w:p>
      <w:r>
        <w:t>2. 场外执行是否具备独立合规证明包？</w:t>
      </w:r>
    </w:p>
    <w:p>
      <w:r>
        <w:t>3. 季度执行质量复核是否按时完成？</w:t>
      </w:r>
    </w:p>
    <w:p>
      <w:r>
        <w:t>4. 是否对质量差异形成调整或合理说明？</w:t>
      </w:r>
    </w:p>
    <w:p>
      <w:r>
        <w:t>5. 最佳执行证据是否支持监管抽检？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执行决策仅有结论无因素依据。</w:t>
      </w:r>
    </w:p>
    <w:p>
      <w:pPr>
        <w:pStyle w:val="ListBullet"/>
      </w:pPr>
      <w:r>
        <w:t>场外执行缺少比较和举证数据。</w:t>
      </w:r>
    </w:p>
    <w:p>
      <w:pPr>
        <w:pStyle w:val="ListBullet"/>
      </w:pPr>
      <w:r>
        <w:t>季度复核逾期或无结论。</w:t>
      </w:r>
    </w:p>
    <w:p>
      <w:pPr>
        <w:pStyle w:val="ListBullet"/>
      </w:pPr>
      <w:r>
        <w:t>整改闭环未留痕。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