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r>
        <w:t>CAP-011_Audit_Compliance_Guide_v2</w:t>
      </w:r>
    </w:p>
    <w:p>
      <w:r>
        <w:t>定价与报价服务 — 合规可审计版本</w:t>
      </w:r>
    </w:p>
    <w:p>
      <w:r>
        <w:t>Prepared for: Virtual Assets Regulatory Authority (VARA), Dubai</w:t>
      </w:r>
    </w:p>
    <w:p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CAP-011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定价与报价服务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Broker-Dealer Part I.A/I.B, Part II.A;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CAP-011 定价与报价服务的合规控制要求。</w:t>
      </w:r>
    </w:p>
    <w:p>
      <w:pPr>
        <w:pStyle w:val="ListBullet"/>
      </w:pPr>
      <w:r>
        <w:t>覆盖报价方法定义、报价因素评估、异常报价处置、报价到成交留痕。</w:t>
      </w:r>
    </w:p>
    <w:p>
      <w:pPr>
        <w:pStyle w:val="ListBullet"/>
      </w:pPr>
      <w:r>
        <w:t>与 CAP-010 边界：CAP-011聚焦“报价形成与披露”；CAP-010聚焦“执行最优性证明”。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"a description of how the VASP determines the prices of the Virtual Assets it quotes to clients"</w:t>
            </w:r>
          </w:p>
        </w:tc>
        <w:tc>
          <w:tcPr>
            <w:tcW w:type="dxa" w:w="2160"/>
          </w:tcPr>
          <w:p>
            <w:r>
              <w:t>BD / Part I.B.1(d) / Rule I.B.1(d) / p5</w:t>
            </w:r>
          </w:p>
        </w:tc>
        <w:tc>
          <w:tcPr>
            <w:tcW w:type="dxa" w:w="2160"/>
          </w:tcPr>
          <w:p>
            <w:r>
              <w:t>报价定价方法必须可描述、可对外披露。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"obtain the most favourable price ... ensure the best possible result for the client"</w:t>
            </w:r>
          </w:p>
        </w:tc>
        <w:tc>
          <w:tcPr>
            <w:tcW w:type="dxa" w:w="2160"/>
          </w:tcPr>
          <w:p>
            <w:r>
              <w:t>BD / Part II.A.1 / Rule II.A.1 / p7</w:t>
            </w:r>
          </w:p>
        </w:tc>
        <w:tc>
          <w:tcPr>
            <w:tcW w:type="dxa" w:w="2160"/>
          </w:tcPr>
          <w:p>
            <w:r>
              <w:t>报价服务需以客户最优结果为目标并考虑执行条件。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"Qualified Investor or an Institutional Investor ... provide it with a quote to Execute"</w:t>
            </w:r>
          </w:p>
        </w:tc>
        <w:tc>
          <w:tcPr>
            <w:tcW w:type="dxa" w:w="2160"/>
          </w:tcPr>
          <w:p>
            <w:r>
              <w:t>BD / Part II.A.2(b)(i) / Rule II.A.2(b)(i) / p7</w:t>
            </w:r>
          </w:p>
        </w:tc>
        <w:tc>
          <w:tcPr>
            <w:tcW w:type="dxa" w:w="2160"/>
          </w:tcPr>
          <w:p>
            <w:r>
              <w:t>特定客户场景可采用“报价后由VASP专业裁量执行”路径。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"factors ... characteristics of the Market ... number of Markets ... accessibility of quotes"</w:t>
            </w:r>
          </w:p>
        </w:tc>
        <w:tc>
          <w:tcPr>
            <w:tcW w:type="dxa" w:w="2160"/>
          </w:tcPr>
          <w:p>
            <w:r>
              <w:t>BD / Part II.A.4 / Rule II.A.4 / p8</w:t>
            </w:r>
          </w:p>
        </w:tc>
        <w:tc>
          <w:tcPr>
            <w:tcW w:type="dxa" w:w="2160"/>
          </w:tcPr>
          <w:p>
            <w:r>
              <w:t>报价应基于多市场与流动性因素综合判断。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"document its compliance ... absence of pricing information ... multiple quotations"</w:t>
            </w:r>
          </w:p>
        </w:tc>
        <w:tc>
          <w:tcPr>
            <w:tcW w:type="dxa" w:w="2160"/>
          </w:tcPr>
          <w:p>
            <w:r>
              <w:t>BD / Part II.A.12 / Rule II.A.12 / p9</w:t>
            </w:r>
          </w:p>
        </w:tc>
        <w:tc>
          <w:tcPr>
            <w:tcW w:type="dxa" w:w="2160"/>
          </w:tcPr>
          <w:p>
            <w:r>
              <w:t>缺价或多报价冲突场景必须形成文档化证明。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"keeping proper audit trails ... amount, date and time ... total amount of fees and charges"</w:t>
            </w:r>
          </w:p>
        </w:tc>
        <w:tc>
          <w:tcPr>
            <w:tcW w:type="dxa" w:w="2160"/>
          </w:tcPr>
          <w:p>
            <w:r>
              <w:t>CR / Part I.F.1(a) / Rule I.F.1(a) / p16</w:t>
            </w:r>
          </w:p>
        </w:tc>
        <w:tc>
          <w:tcPr>
            <w:tcW w:type="dxa" w:w="2160"/>
          </w:tcPr>
          <w:p>
            <w:r>
              <w:t>报价与成交关联记录须具备审计轨迹。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CR / Part I.F.2 / Rule I.F.2 / p17</w:t>
            </w:r>
          </w:p>
        </w:tc>
        <w:tc>
          <w:tcPr>
            <w:tcW w:type="dxa" w:w="2160"/>
          </w:tcPr>
          <w:p>
            <w:r>
              <w:t>报价相关关键记录留存不少于8年。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"assess and ... at least yearly review the effectiveness of their policies and procedures"</w:t>
            </w:r>
          </w:p>
        </w:tc>
        <w:tc>
          <w:tcPr>
            <w:tcW w:type="dxa" w:w="2160"/>
          </w:tcPr>
          <w:p>
            <w:r>
              <w:t>BD / Part I.A.2 / Rule I.A.2 / p4</w:t>
            </w:r>
          </w:p>
        </w:tc>
        <w:tc>
          <w:tcPr>
            <w:tcW w:type="dxa" w:w="2160"/>
          </w:tcPr>
          <w:p>
            <w:r>
              <w:t>报价政策与流程至少每年复核一次。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报价请求受理</w:t>
            </w:r>
          </w:p>
        </w:tc>
        <w:tc>
          <w:tcPr>
            <w:tcW w:type="dxa" w:w="1440"/>
          </w:tcPr>
          <w:p>
            <w:r>
              <w:t>报价方法公开可解释（C1）</w:t>
            </w:r>
          </w:p>
        </w:tc>
        <w:tc>
          <w:tcPr>
            <w:tcW w:type="dxa" w:w="1440"/>
          </w:tcPr>
          <w:p>
            <w:r>
              <w:t>请求要素完整</w:t>
            </w:r>
          </w:p>
        </w:tc>
        <w:tc>
          <w:tcPr>
            <w:tcW w:type="dxa" w:w="1440"/>
          </w:tcPr>
          <w:p>
            <w:r>
              <w:t>退回补全请求</w:t>
            </w:r>
          </w:p>
        </w:tc>
        <w:tc>
          <w:tcPr>
            <w:tcW w:type="dxa" w:w="1440"/>
          </w:tcPr>
          <w:p>
            <w:r>
              <w:t>报价请求记录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多源行情与流动性采集</w:t>
            </w:r>
          </w:p>
        </w:tc>
        <w:tc>
          <w:tcPr>
            <w:tcW w:type="dxa" w:w="1440"/>
          </w:tcPr>
          <w:p>
            <w:r>
              <w:t>最优结果导向（C2/C4）</w:t>
            </w:r>
          </w:p>
        </w:tc>
        <w:tc>
          <w:tcPr>
            <w:tcW w:type="dxa" w:w="1440"/>
          </w:tcPr>
          <w:p>
            <w:r>
              <w:t>来源覆盖合理</w:t>
            </w:r>
          </w:p>
        </w:tc>
        <w:tc>
          <w:tcPr>
            <w:tcW w:type="dxa" w:w="1440"/>
          </w:tcPr>
          <w:p>
            <w:r>
              <w:t>升级人工复核</w:t>
            </w:r>
          </w:p>
        </w:tc>
        <w:tc>
          <w:tcPr>
            <w:tcW w:type="dxa" w:w="1440"/>
          </w:tcPr>
          <w:p>
            <w:r>
              <w:t>行情快照与来源清单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报价生成与适用场景识别</w:t>
            </w:r>
          </w:p>
        </w:tc>
        <w:tc>
          <w:tcPr>
            <w:tcW w:type="dxa" w:w="1440"/>
          </w:tcPr>
          <w:p>
            <w:r>
              <w:t>特定客户报价场景识别（C3）</w:t>
            </w:r>
          </w:p>
        </w:tc>
        <w:tc>
          <w:tcPr>
            <w:tcW w:type="dxa" w:w="1440"/>
          </w:tcPr>
          <w:p>
            <w:r>
              <w:t>场景分类准确</w:t>
            </w:r>
          </w:p>
        </w:tc>
        <w:tc>
          <w:tcPr>
            <w:tcW w:type="dxa" w:w="1440"/>
          </w:tcPr>
          <w:p>
            <w:r>
              <w:t>阻断错误路径</w:t>
            </w:r>
          </w:p>
        </w:tc>
        <w:tc>
          <w:tcPr>
            <w:tcW w:type="dxa" w:w="1440"/>
          </w:tcPr>
          <w:p>
            <w:r>
              <w:t>报价计算与场景标签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异常报价处置</w:t>
            </w:r>
          </w:p>
        </w:tc>
        <w:tc>
          <w:tcPr>
            <w:tcW w:type="dxa" w:w="1440"/>
          </w:tcPr>
          <w:p>
            <w:r>
              <w:t>缺价/多报价冲突需文档化（C5）</w:t>
            </w:r>
          </w:p>
        </w:tc>
        <w:tc>
          <w:tcPr>
            <w:tcW w:type="dxa" w:w="1440"/>
          </w:tcPr>
          <w:p>
            <w:r>
              <w:t>异常处置可解释</w:t>
            </w:r>
          </w:p>
        </w:tc>
        <w:tc>
          <w:tcPr>
            <w:tcW w:type="dxa" w:w="1440"/>
          </w:tcPr>
          <w:p>
            <w:r>
              <w:t>拒绝报价或重算</w:t>
            </w:r>
          </w:p>
        </w:tc>
        <w:tc>
          <w:tcPr>
            <w:tcW w:type="dxa" w:w="1440"/>
          </w:tcPr>
          <w:p>
            <w:r>
              <w:t>异常处置单与审批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报价发布与成交关联</w:t>
            </w:r>
          </w:p>
        </w:tc>
        <w:tc>
          <w:tcPr>
            <w:tcW w:type="dxa" w:w="1440"/>
          </w:tcPr>
          <w:p>
            <w:r>
              <w:t>审计轨迹完整（C6）</w:t>
            </w:r>
          </w:p>
        </w:tc>
        <w:tc>
          <w:tcPr>
            <w:tcW w:type="dxa" w:w="1440"/>
          </w:tcPr>
          <w:p>
            <w:r>
              <w:t>报价与成交可追溯</w:t>
            </w:r>
          </w:p>
        </w:tc>
        <w:tc>
          <w:tcPr>
            <w:tcW w:type="dxa" w:w="1440"/>
          </w:tcPr>
          <w:p>
            <w:r>
              <w:t>补录并纠偏</w:t>
            </w:r>
          </w:p>
        </w:tc>
        <w:tc>
          <w:tcPr>
            <w:tcW w:type="dxa" w:w="1440"/>
          </w:tcPr>
          <w:p>
            <w:r>
              <w:t>报价回执与成交关联ID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归档与复核</w:t>
            </w:r>
          </w:p>
        </w:tc>
        <w:tc>
          <w:tcPr>
            <w:tcW w:type="dxa" w:w="1440"/>
          </w:tcPr>
          <w:p>
            <w:r>
              <w:t>记录留存+年度复核（C7/C8）</w:t>
            </w:r>
          </w:p>
        </w:tc>
        <w:tc>
          <w:tcPr>
            <w:tcW w:type="dxa" w:w="1440"/>
          </w:tcPr>
          <w:p>
            <w:r>
              <w:t>可抽检导出</w:t>
            </w:r>
          </w:p>
        </w:tc>
        <w:tc>
          <w:tcPr>
            <w:tcW w:type="dxa" w:w="1440"/>
          </w:tcPr>
          <w:p>
            <w:r>
              <w:t>整改闭环</w:t>
            </w:r>
          </w:p>
        </w:tc>
        <w:tc>
          <w:tcPr>
            <w:tcW w:type="dxa" w:w="1440"/>
          </w:tcPr>
          <w:p>
            <w:r>
              <w:t>归档台账与年度复核报告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F-AUD-011-001 — 报价形成与发布流程</w:t>
      </w:r>
    </w:p>
    <w:p>
      <w:r>
        <w:t>requirement_refs: C1/C2/C4</w:t>
      </w:r>
    </w:p>
    <w:p>
      <w:r>
        <w:t>ASCII 流程图：</w:t>
      </w:r>
    </w:p>
    <w:p>
      <w:r>
        <w:t>[Quote Request] -&gt; [Collect Market Data + Liquidity Sources]</w:t>
        <w:br/>
        <w:t xml:space="preserve"> -&gt; [Apply Pricing Method]</w:t>
        <w:br/>
        <w:t xml:space="preserve"> -&gt; {Sufficient Pricing Basis?}</w:t>
        <w:br/>
        <w:t xml:space="preserve">    No -&gt; [Escalate Exception Pricing Review]</w:t>
        <w:br/>
        <w:t xml:space="preserve">    Yes -&gt; [Generate Quote]</w:t>
        <w:br/>
        <w:t xml:space="preserve"> -&gt; [Disclose Quote Terms] -&gt; [End]</w:t>
      </w:r>
    </w:p>
    <w:p>
      <w:r>
        <w:t>Mermaid 代码：</w:t>
      </w:r>
    </w:p>
    <w:p>
      <w:r>
        <w:t>```mermaid</w:t>
        <w:br/>
        <w:t>flowchart TD</w:t>
        <w:br/>
        <w:t>A[Quote Request] --&gt; B[Collect Market Data and Liquidity Sources]</w:t>
        <w:br/>
        <w:t>B --&gt; C[Apply Pricing Method]</w:t>
        <w:br/>
        <w:t>C --&gt; D{Sufficient Pricing Basis?}</w:t>
        <w:br/>
        <w:t>D -- No --&gt; E[Escalate Exception Pricing Review]</w:t>
        <w:br/>
        <w:t>D -- Yes --&gt; F[Generate Quote]</w:t>
        <w:br/>
        <w:t>E --&gt; F</w:t>
        <w:br/>
        <w:t>F --&gt; G[Disclose Quote Terms]</w:t>
        <w:br/>
        <w:t>G --&gt; Z[End]</w:t>
        <w:br/>
        <w:t>```</w:t>
      </w:r>
    </w:p>
    <w:p>
      <w:r>
        <w:t>F-AUD-011-002 — 缺价/多报价异常处置流程</w:t>
      </w:r>
    </w:p>
    <w:p>
      <w:r>
        <w:t>requirement_refs: C5/C6</w:t>
      </w:r>
    </w:p>
    <w:p>
      <w:r>
        <w:t>ASCII 流程图：</w:t>
      </w:r>
    </w:p>
    <w:p>
      <w:r>
        <w:t>[Exception Trigger: No Price / Multiple Quotes] -&gt; [Open Pricing Exception Case]</w:t>
        <w:br/>
        <w:t xml:space="preserve"> -&gt; [Compare Sources + Pricing Drivers]</w:t>
        <w:br/>
        <w:t xml:space="preserve"> -&gt; [Compliance Review]</w:t>
        <w:br/>
        <w:t xml:space="preserve"> -&gt; {Approved?}</w:t>
        <w:br/>
        <w:t xml:space="preserve">    No -&gt; [Reject Quote + Notify Client]</w:t>
        <w:br/>
        <w:t xml:space="preserve">    Yes -&gt; [Issue Controlled Quote]</w:t>
        <w:br/>
        <w:t xml:space="preserve"> -&gt; [Document Rationale] -&gt; [End]</w:t>
      </w:r>
    </w:p>
    <w:p>
      <w:r>
        <w:t>Mermaid 代码：</w:t>
      </w:r>
    </w:p>
    <w:p>
      <w:r>
        <w:t>```mermaid</w:t>
        <w:br/>
        <w:t>flowchart TD</w:t>
        <w:br/>
        <w:t>A[Exception Trigger No Price or Multiple Quotes] --&gt; B[Open Pricing Exception Case]</w:t>
        <w:br/>
        <w:t>B --&gt; C[Compare Sources and Pricing Drivers]</w:t>
        <w:br/>
        <w:t>C --&gt; D[Compliance Review]</w:t>
        <w:br/>
        <w:t>D --&gt; E{Approved?}</w:t>
        <w:br/>
        <w:t>E -- No --&gt; F[Reject Quote and Notify Client]</w:t>
        <w:br/>
        <w:t>E -- Yes --&gt; G[Issue Controlled Quote]</w:t>
        <w:br/>
        <w:t>F --&gt; H[Document Rationale]</w:t>
        <w:br/>
        <w:t>G --&gt; H</w:t>
        <w:br/>
        <w:t>H --&gt; Z[End]</w:t>
        <w:br/>
        <w:t>```</w:t>
      </w:r>
    </w:p>
    <w:p>
      <w:r>
        <w:t>F-AUD-011-003 — 报价到成交证据归档流程</w:t>
      </w:r>
    </w:p>
    <w:p>
      <w:r>
        <w:t>requirement_refs: C6/C7</w:t>
      </w:r>
    </w:p>
    <w:p>
      <w:r>
        <w:t>ASCII 流程图：</w:t>
      </w:r>
    </w:p>
    <w:p>
      <w:r>
        <w:t>[Quote Issued] -&gt; [Client Decision]</w:t>
        <w:br/>
        <w:t xml:space="preserve"> -&gt; {Executed?}</w:t>
        <w:br/>
        <w:t xml:space="preserve">    No -&gt; [Archive Quote Expiry Record]</w:t>
        <w:br/>
        <w:t xml:space="preserve">    Yes -&gt; [Link Quote to Trade Confirmation]</w:t>
        <w:br/>
        <w:t xml:space="preserve"> -&gt; [Store Audit Trail]</w:t>
        <w:br/>
        <w:t xml:space="preserve"> -&gt; [Retention Tag &gt;=8 years] -&gt; [End]</w:t>
      </w:r>
    </w:p>
    <w:p>
      <w:r>
        <w:t>Mermaid 代码：</w:t>
      </w:r>
    </w:p>
    <w:p>
      <w:r>
        <w:t>```mermaid</w:t>
        <w:br/>
        <w:t>flowchart TD</w:t>
        <w:br/>
        <w:t>A[Quote Issued] --&gt; B[Client Decision]</w:t>
        <w:br/>
        <w:t>B --&gt; C{Executed?}</w:t>
        <w:br/>
        <w:t>C -- No --&gt; D[Archive Quote Expiry Record]</w:t>
        <w:br/>
        <w:t>C -- Yes --&gt; E[Link Quote to Trade Confirmation]</w:t>
        <w:br/>
        <w:t>D --&gt; F[Store Audit Trail]</w:t>
        <w:br/>
        <w:t>E --&gt; F</w:t>
        <w:br/>
        <w:t>F --&gt; G[Retention Tag gte 8 years]</w:t>
        <w:br/>
        <w:t>G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报价方法与参数审批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实时报价生成与异常识别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异常报价复核与放行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报价与成交证据归档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年度政策复核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监管抽检响应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报价请求记录</w:t>
            </w:r>
          </w:p>
        </w:tc>
        <w:tc>
          <w:tcPr>
            <w:tcW w:type="dxa" w:w="1728"/>
          </w:tcPr>
          <w:p>
            <w:r>
              <w:t>客户、产品、数量、时间、请求渠道</w:t>
            </w:r>
          </w:p>
        </w:tc>
        <w:tc>
          <w:tcPr>
            <w:tcW w:type="dxa" w:w="1728"/>
          </w:tcPr>
          <w:p>
            <w:r>
              <w:t>每次请求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C1/C6/C7</w:t>
            </w:r>
          </w:p>
        </w:tc>
      </w:tr>
      <w:tr>
        <w:tc>
          <w:tcPr>
            <w:tcW w:type="dxa" w:w="1728"/>
          </w:tcPr>
          <w:p>
            <w:r>
              <w:t>行情来源快照</w:t>
            </w:r>
          </w:p>
        </w:tc>
        <w:tc>
          <w:tcPr>
            <w:tcW w:type="dxa" w:w="1728"/>
          </w:tcPr>
          <w:p>
            <w:r>
              <w:t>来源列表、时间戳、可得报价</w:t>
            </w:r>
          </w:p>
        </w:tc>
        <w:tc>
          <w:tcPr>
            <w:tcW w:type="dxa" w:w="1728"/>
          </w:tcPr>
          <w:p>
            <w:r>
              <w:t>每次报价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C2/C4/C7</w:t>
            </w:r>
          </w:p>
        </w:tc>
      </w:tr>
      <w:tr>
        <w:tc>
          <w:tcPr>
            <w:tcW w:type="dxa" w:w="1728"/>
          </w:tcPr>
          <w:p>
            <w:r>
              <w:t>异常处置单</w:t>
            </w:r>
          </w:p>
        </w:tc>
        <w:tc>
          <w:tcPr>
            <w:tcW w:type="dxa" w:w="1728"/>
          </w:tcPr>
          <w:p>
            <w:r>
              <w:t>异常类型、处置逻辑、审批结果</w:t>
            </w:r>
          </w:p>
        </w:tc>
        <w:tc>
          <w:tcPr>
            <w:tcW w:type="dxa" w:w="1728"/>
          </w:tcPr>
          <w:p>
            <w:r>
              <w:t>异常触发时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C5/C7</w:t>
            </w:r>
          </w:p>
        </w:tc>
      </w:tr>
      <w:tr>
        <w:tc>
          <w:tcPr>
            <w:tcW w:type="dxa" w:w="1728"/>
          </w:tcPr>
          <w:p>
            <w:r>
              <w:t>报价-成交关联记录</w:t>
            </w:r>
          </w:p>
        </w:tc>
        <w:tc>
          <w:tcPr>
            <w:tcW w:type="dxa" w:w="1728"/>
          </w:tcPr>
          <w:p>
            <w:r>
              <w:t>报价ID、成交ID、差异说明</w:t>
            </w:r>
          </w:p>
        </w:tc>
        <w:tc>
          <w:tcPr>
            <w:tcW w:type="dxa" w:w="1728"/>
          </w:tcPr>
          <w:p>
            <w:r>
              <w:t>成交后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C6/C7</w:t>
            </w:r>
          </w:p>
        </w:tc>
      </w:tr>
      <w:tr>
        <w:tc>
          <w:tcPr>
            <w:tcW w:type="dxa" w:w="1728"/>
          </w:tcPr>
          <w:p>
            <w:r>
              <w:t>年度复核报告</w:t>
            </w:r>
          </w:p>
        </w:tc>
        <w:tc>
          <w:tcPr>
            <w:tcW w:type="dxa" w:w="1728"/>
          </w:tcPr>
          <w:p>
            <w:r>
              <w:t>缺陷清单、整改措施、结论</w:t>
            </w:r>
          </w:p>
        </w:tc>
        <w:tc>
          <w:tcPr>
            <w:tcW w:type="dxa" w:w="1728"/>
          </w:tcPr>
          <w:p>
            <w:r>
              <w:t>每年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C8/C7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报价因素评估</w:t>
            </w:r>
          </w:p>
        </w:tc>
        <w:tc>
          <w:tcPr>
            <w:tcW w:type="dxa" w:w="2160"/>
          </w:tcPr>
          <w:p>
            <w:r>
              <w:t>报价形成前完成多因素评估</w:t>
            </w:r>
          </w:p>
        </w:tc>
        <w:tc>
          <w:tcPr>
            <w:tcW w:type="dxa" w:w="2160"/>
          </w:tcPr>
          <w:p>
            <w:r>
              <w:t>每次报价</w:t>
            </w:r>
          </w:p>
        </w:tc>
        <w:tc>
          <w:tcPr>
            <w:tcW w:type="dxa" w:w="2160"/>
          </w:tcPr>
          <w:p>
            <w:r>
              <w:t>C2/C4</w:t>
            </w:r>
          </w:p>
        </w:tc>
      </w:tr>
      <w:tr>
        <w:tc>
          <w:tcPr>
            <w:tcW w:type="dxa" w:w="2160"/>
          </w:tcPr>
          <w:p>
            <w:r>
              <w:t>异常报价处置</w:t>
            </w:r>
          </w:p>
        </w:tc>
        <w:tc>
          <w:tcPr>
            <w:tcW w:type="dxa" w:w="2160"/>
          </w:tcPr>
          <w:p>
            <w:r>
              <w:t>缺价/多报价冲突需即时升级</w:t>
            </w:r>
          </w:p>
        </w:tc>
        <w:tc>
          <w:tcPr>
            <w:tcW w:type="dxa" w:w="2160"/>
          </w:tcPr>
          <w:p>
            <w:r>
              <w:t>异常触发时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报价成交留痕</w:t>
            </w:r>
          </w:p>
        </w:tc>
        <w:tc>
          <w:tcPr>
            <w:tcW w:type="dxa" w:w="2160"/>
          </w:tcPr>
          <w:p>
            <w:r>
              <w:t>报价与成交记录可追溯</w:t>
            </w:r>
          </w:p>
        </w:tc>
        <w:tc>
          <w:tcPr>
            <w:tcW w:type="dxa" w:w="2160"/>
          </w:tcPr>
          <w:p>
            <w:r>
              <w:t>每次成交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  <w:tr>
        <w:tc>
          <w:tcPr>
            <w:tcW w:type="dxa" w:w="2160"/>
          </w:tcPr>
          <w:p>
            <w:r>
              <w:t>政策有效性复核</w:t>
            </w:r>
          </w:p>
        </w:tc>
        <w:tc>
          <w:tcPr>
            <w:tcW w:type="dxa" w:w="2160"/>
          </w:tcPr>
          <w:p>
            <w:r>
              <w:t>至少年度复核</w:t>
            </w:r>
          </w:p>
        </w:tc>
        <w:tc>
          <w:tcPr>
            <w:tcW w:type="dxa" w:w="2160"/>
          </w:tcPr>
          <w:p>
            <w:r>
              <w:t>每年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关键记录不少于8年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是否对每次报价保留行情来源与时间戳证据？</w:t>
      </w:r>
    </w:p>
    <w:p>
      <w:r>
        <w:t>2. 缺价或多报价冲突是否有标准化升级与审批流程？</w:t>
      </w:r>
    </w:p>
    <w:p>
      <w:r>
        <w:t>3. 报价与成交是否能够通过统一ID关联回放？</w:t>
      </w:r>
    </w:p>
    <w:p>
      <w:r>
        <w:t>4. 报价政策是否至少每年完成一次有效性复核？</w:t>
      </w:r>
    </w:p>
    <w:p>
      <w:r>
        <w:t>5. 关键记录是否满足 &gt;=8 years 留存要求？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报价生成缺少来源依据，无法解释定价逻辑。</w:t>
      </w:r>
    </w:p>
    <w:p>
      <w:pPr>
        <w:pStyle w:val="ListBullet"/>
      </w:pPr>
      <w:r>
        <w:t>异常报价直接放行，未形成审批或处置记录。</w:t>
      </w:r>
    </w:p>
    <w:p>
      <w:pPr>
        <w:pStyle w:val="ListBullet"/>
      </w:pPr>
      <w:r>
        <w:t>报价与成交记录断链，抽检无法回放。</w:t>
      </w:r>
    </w:p>
    <w:p>
      <w:pPr>
        <w:pStyle w:val="ListBullet"/>
      </w:pPr>
      <w:r>
        <w:t>年度复核缺失或无整改闭环。</w:t>
      </w:r>
    </w:p>
    <w:p>
      <w:pPr>
        <w:pStyle w:val="ListBullet"/>
      </w:pPr>
      <w:r>
        <w:t>证据留存不足8年。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