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</w:t>
      </w:r>
    </w:p>
    <w:p>
      <w:r>
        <w:t>CAP-012_Audit_Compliance_Guide_v2</w:t>
      </w:r>
    </w:p>
    <w:p>
      <w:r>
        <w:t>订单路由与执行质量复核 — 合规可审计版本</w:t>
      </w:r>
    </w:p>
    <w:p>
      <w:r>
        <w:t>Prepared for: Virtual Assets Regulatory Authority (VARA), Dubai</w:t>
      </w:r>
    </w:p>
    <w:p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CAP-012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订单路由与执行质量复核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Broker-Dealer Part I.A/I.B, Part II.A; Compliance &amp; 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CAP-012 订单路由与执行质量复核的合规控制要求。</w:t>
      </w:r>
    </w:p>
    <w:p>
      <w:pPr>
        <w:pStyle w:val="ListBullet"/>
      </w:pPr>
      <w:r>
        <w:t>覆盖路由策略披露、定向路由处理、季度执行质量复核与变更通知。</w:t>
      </w:r>
    </w:p>
    <w:p>
      <w:pPr>
        <w:pStyle w:val="ListBullet"/>
      </w:pPr>
      <w:r>
        <w:t>与 CAP-009 边界：CAP-012聚焦“路由治理与质量复核机制”，CAP-009聚焦“OMS生命周期编排”。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"policies and procedures ... execution and routing of client orders"</w:t>
            </w:r>
          </w:p>
        </w:tc>
        <w:tc>
          <w:tcPr>
            <w:tcW w:type="dxa" w:w="2160"/>
          </w:tcPr>
          <w:p>
            <w:r>
              <w:t>BD / Part I.A.1(b) / Rule I.A.1(b) / p4</w:t>
            </w:r>
          </w:p>
        </w:tc>
        <w:tc>
          <w:tcPr>
            <w:tcW w:type="dxa" w:w="2160"/>
          </w:tcPr>
          <w:p>
            <w:r>
              <w:t>必须建立订单执行与路由书面政策。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"description of the VASP's routing practices ... if twenty percent (20%) or more ..."</w:t>
            </w:r>
          </w:p>
        </w:tc>
        <w:tc>
          <w:tcPr>
            <w:tcW w:type="dxa" w:w="2160"/>
          </w:tcPr>
          <w:p>
            <w:r>
              <w:t>BD / Part I.B.1(e) / Rule I.B.1(e) / p5</w:t>
            </w:r>
          </w:p>
        </w:tc>
        <w:tc>
          <w:tcPr>
            <w:tcW w:type="dxa" w:w="2160"/>
          </w:tcPr>
          <w:p>
            <w:r>
              <w:t>路由实践及高集中度流动性来源需披露。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"unsolicited instruction ... route ... not required to make a best Execution determination ..."</w:t>
            </w:r>
          </w:p>
        </w:tc>
        <w:tc>
          <w:tcPr>
            <w:tcW w:type="dxa" w:w="2160"/>
          </w:tcPr>
          <w:p>
            <w:r>
              <w:t>BD / Part II.A.10 / Rule II.A.10 / p9</w:t>
            </w:r>
          </w:p>
        </w:tc>
        <w:tc>
          <w:tcPr>
            <w:tcW w:type="dxa" w:w="2160"/>
          </w:tcPr>
          <w:p>
            <w:r>
              <w:t>客户主动定向路由时，按指令迅速处理并留痕。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"receiving VASP ... is required to meet the requirements in this Part II"</w:t>
            </w:r>
          </w:p>
        </w:tc>
        <w:tc>
          <w:tcPr>
            <w:tcW w:type="dxa" w:w="2160"/>
          </w:tcPr>
          <w:p>
            <w:r>
              <w:t>BD / Part II.A.11 / Rule II.A.11 / p9</w:t>
            </w:r>
          </w:p>
        </w:tc>
        <w:tc>
          <w:tcPr>
            <w:tcW w:type="dxa" w:w="2160"/>
          </w:tcPr>
          <w:p>
            <w:r>
              <w:t>定向至其他持牌VASP时，接收方仍须满足执行规则。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"must review (at least quarterly) the quality of Execution ... modify ... or justify"</w:t>
            </w:r>
          </w:p>
        </w:tc>
        <w:tc>
          <w:tcPr>
            <w:tcW w:type="dxa" w:w="2160"/>
          </w:tcPr>
          <w:p>
            <w:r>
              <w:t>BD / Part II.A.13 / Rule II.A.13 / p9</w:t>
            </w:r>
          </w:p>
        </w:tc>
        <w:tc>
          <w:tcPr>
            <w:tcW w:type="dxa" w:w="2160"/>
          </w:tcPr>
          <w:p>
            <w:r>
              <w:t>自动路由与内化流需至少季度复核并调整或说明。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"can rely on that Entity's regular and rigorous review ... rationale ... fully disclosed"</w:t>
            </w:r>
          </w:p>
        </w:tc>
        <w:tc>
          <w:tcPr>
            <w:tcW w:type="dxa" w:w="2160"/>
          </w:tcPr>
          <w:p>
            <w:r>
              <w:t>BD / Part II.A.14 / Rule II.A.14 / p10</w:t>
            </w:r>
          </w:p>
        </w:tc>
        <w:tc>
          <w:tcPr>
            <w:tcW w:type="dxa" w:w="2160"/>
          </w:tcPr>
          <w:p>
            <w:r>
              <w:t>可依赖代理方复核，但复核依据需充分披露。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"must notify clients ... any material changes to ... order Execution arrangements"</w:t>
            </w:r>
          </w:p>
        </w:tc>
        <w:tc>
          <w:tcPr>
            <w:tcW w:type="dxa" w:w="2160"/>
          </w:tcPr>
          <w:p>
            <w:r>
              <w:t>BD / Part II.A.16 / Rule II.A.16 / p10</w:t>
            </w:r>
          </w:p>
        </w:tc>
        <w:tc>
          <w:tcPr>
            <w:tcW w:type="dxa" w:w="2160"/>
          </w:tcPr>
          <w:p>
            <w:r>
              <w:t>执行安排发生重大变化必须通知持续关系客户。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"keeping proper audit trails of all transactions"</w:t>
            </w:r>
          </w:p>
        </w:tc>
        <w:tc>
          <w:tcPr>
            <w:tcW w:type="dxa" w:w="2160"/>
          </w:tcPr>
          <w:p>
            <w:r>
              <w:t>CR / Part I.F.1(a) / Rule I.F.1(a) / p16</w:t>
            </w:r>
          </w:p>
        </w:tc>
        <w:tc>
          <w:tcPr>
            <w:tcW w:type="dxa" w:w="2160"/>
          </w:tcPr>
          <w:p>
            <w:r>
              <w:t>路由与复核过程必须可审计。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CR / Part I.F.2 / Rule I.F.2 / p17</w:t>
            </w:r>
          </w:p>
        </w:tc>
        <w:tc>
          <w:tcPr>
            <w:tcW w:type="dxa" w:w="2160"/>
          </w:tcPr>
          <w:p>
            <w:r>
              <w:t>路由与复核证据留存不少于8年。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"at least yearly review the effectiveness of their policies and procedures"</w:t>
            </w:r>
          </w:p>
        </w:tc>
        <w:tc>
          <w:tcPr>
            <w:tcW w:type="dxa" w:w="2160"/>
          </w:tcPr>
          <w:p>
            <w:r>
              <w:t>BD / Part I.A.2 / Rule I.A.2 / p4</w:t>
            </w:r>
          </w:p>
        </w:tc>
        <w:tc>
          <w:tcPr>
            <w:tcW w:type="dxa" w:w="2160"/>
          </w:tcPr>
          <w:p>
            <w:r>
              <w:t>路由政策有效性至少年度复核。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路由政策建立与披露</w:t>
            </w:r>
          </w:p>
        </w:tc>
        <w:tc>
          <w:tcPr>
            <w:tcW w:type="dxa" w:w="1440"/>
          </w:tcPr>
          <w:p>
            <w:r>
              <w:t>执行/路由政策+披露（C1/C2）</w:t>
            </w:r>
          </w:p>
        </w:tc>
        <w:tc>
          <w:tcPr>
            <w:tcW w:type="dxa" w:w="1440"/>
          </w:tcPr>
          <w:p>
            <w:r>
              <w:t>政策覆盖完整</w:t>
            </w:r>
          </w:p>
        </w:tc>
        <w:tc>
          <w:tcPr>
            <w:tcW w:type="dxa" w:w="1440"/>
          </w:tcPr>
          <w:p>
            <w:r>
              <w:t>补充政策并重发披露</w:t>
            </w:r>
          </w:p>
        </w:tc>
        <w:tc>
          <w:tcPr>
            <w:tcW w:type="dxa" w:w="1440"/>
          </w:tcPr>
          <w:p>
            <w:r>
              <w:t>路由政策与披露记录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订单路由决策</w:t>
            </w:r>
          </w:p>
        </w:tc>
        <w:tc>
          <w:tcPr>
            <w:tcW w:type="dxa" w:w="1440"/>
          </w:tcPr>
          <w:p>
            <w:r>
              <w:t>定向/非定向路径分流（C3/C4）</w:t>
            </w:r>
          </w:p>
        </w:tc>
        <w:tc>
          <w:tcPr>
            <w:tcW w:type="dxa" w:w="1440"/>
          </w:tcPr>
          <w:p>
            <w:r>
              <w:t>分流准确且及时</w:t>
            </w:r>
          </w:p>
        </w:tc>
        <w:tc>
          <w:tcPr>
            <w:tcW w:type="dxa" w:w="1440"/>
          </w:tcPr>
          <w:p>
            <w:r>
              <w:t>阻断并人工复核</w:t>
            </w:r>
          </w:p>
        </w:tc>
        <w:tc>
          <w:tcPr>
            <w:tcW w:type="dxa" w:w="1440"/>
          </w:tcPr>
          <w:p>
            <w:r>
              <w:t>路由决策日志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定向路由合规确认</w:t>
            </w:r>
          </w:p>
        </w:tc>
        <w:tc>
          <w:tcPr>
            <w:tcW w:type="dxa" w:w="1440"/>
          </w:tcPr>
          <w:p>
            <w:r>
              <w:t>接收方执行义务确认（C4）</w:t>
            </w:r>
          </w:p>
        </w:tc>
        <w:tc>
          <w:tcPr>
            <w:tcW w:type="dxa" w:w="1440"/>
          </w:tcPr>
          <w:p>
            <w:r>
              <w:t>确认完整</w:t>
            </w:r>
          </w:p>
        </w:tc>
        <w:tc>
          <w:tcPr>
            <w:tcW w:type="dxa" w:w="1440"/>
          </w:tcPr>
          <w:p>
            <w:r>
              <w:t>暂停路由</w:t>
            </w:r>
          </w:p>
        </w:tc>
        <w:tc>
          <w:tcPr>
            <w:tcW w:type="dxa" w:w="1440"/>
          </w:tcPr>
          <w:p>
            <w:r>
              <w:t>接收方确认记录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执行质量复核</w:t>
            </w:r>
          </w:p>
        </w:tc>
        <w:tc>
          <w:tcPr>
            <w:tcW w:type="dxa" w:w="1440"/>
          </w:tcPr>
          <w:p>
            <w:r>
              <w:t>至少季度复核（C5/C6）</w:t>
            </w:r>
          </w:p>
        </w:tc>
        <w:tc>
          <w:tcPr>
            <w:tcW w:type="dxa" w:w="1440"/>
          </w:tcPr>
          <w:p>
            <w:r>
              <w:t>复核按时且有结论</w:t>
            </w:r>
          </w:p>
        </w:tc>
        <w:tc>
          <w:tcPr>
            <w:tcW w:type="dxa" w:w="1440"/>
          </w:tcPr>
          <w:p>
            <w:r>
              <w:t>升级整改</w:t>
            </w:r>
          </w:p>
        </w:tc>
        <w:tc>
          <w:tcPr>
            <w:tcW w:type="dxa" w:w="1440"/>
          </w:tcPr>
          <w:p>
            <w:r>
              <w:t>季度复核报告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重大变化通知</w:t>
            </w:r>
          </w:p>
        </w:tc>
        <w:tc>
          <w:tcPr>
            <w:tcW w:type="dxa" w:w="1440"/>
          </w:tcPr>
          <w:p>
            <w:r>
              <w:t>重大变化通知客户（C7）</w:t>
            </w:r>
          </w:p>
        </w:tc>
        <w:tc>
          <w:tcPr>
            <w:tcW w:type="dxa" w:w="1440"/>
          </w:tcPr>
          <w:p>
            <w:r>
              <w:t>通知及时可证明</w:t>
            </w:r>
          </w:p>
        </w:tc>
        <w:tc>
          <w:tcPr>
            <w:tcW w:type="dxa" w:w="1440"/>
          </w:tcPr>
          <w:p>
            <w:r>
              <w:t>延期变更生效</w:t>
            </w:r>
          </w:p>
        </w:tc>
        <w:tc>
          <w:tcPr>
            <w:tcW w:type="dxa" w:w="1440"/>
          </w:tcPr>
          <w:p>
            <w:r>
              <w:t>客户通知回执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归档与年度评估</w:t>
            </w:r>
          </w:p>
        </w:tc>
        <w:tc>
          <w:tcPr>
            <w:tcW w:type="dxa" w:w="1440"/>
          </w:tcPr>
          <w:p>
            <w:r>
              <w:t>审计轨迹+8年留存+年度复核（C8/C9/C10）</w:t>
            </w:r>
          </w:p>
        </w:tc>
        <w:tc>
          <w:tcPr>
            <w:tcW w:type="dxa" w:w="1440"/>
          </w:tcPr>
          <w:p>
            <w:r>
              <w:t>可抽检导出</w:t>
            </w:r>
          </w:p>
        </w:tc>
        <w:tc>
          <w:tcPr>
            <w:tcW w:type="dxa" w:w="1440"/>
          </w:tcPr>
          <w:p>
            <w:r>
              <w:t>整改闭环</w:t>
            </w:r>
          </w:p>
        </w:tc>
        <w:tc>
          <w:tcPr>
            <w:tcW w:type="dxa" w:w="1440"/>
          </w:tcPr>
          <w:p>
            <w:r>
              <w:t>归档台账与年度评估报告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F-AUD-012-001 — 路由决策主流程</w:t>
      </w:r>
    </w:p>
    <w:p>
      <w:r>
        <w:t>requirement_refs: C1/C2/C3</w:t>
      </w:r>
    </w:p>
    <w:p>
      <w:r>
        <w:t>ASCII 流程图：</w:t>
      </w:r>
    </w:p>
    <w:p>
      <w:r>
        <w:t>[Order Accepted] -&gt; [Check Client Routing Instruction]</w:t>
        <w:br/>
        <w:t xml:space="preserve"> -&gt; {Directed Instruction?}</w:t>
        <w:br/>
        <w:t xml:space="preserve">    Yes -&gt; [Apply Directed Routing Rules]</w:t>
        <w:br/>
        <w:t xml:space="preserve">    No -&gt; [Apply Internal Routing Policy]</w:t>
        <w:br/>
        <w:t xml:space="preserve"> -&gt; [Route to Venue/Counterparty]</w:t>
        <w:br/>
        <w:t xml:space="preserve"> -&gt; [Log Routing Decision] -&gt; [End]</w:t>
      </w:r>
    </w:p>
    <w:p>
      <w:r>
        <w:t>Mermaid 代码：</w:t>
      </w:r>
    </w:p>
    <w:p>
      <w:r>
        <w:t>```mermaid</w:t>
        <w:br/>
        <w:t>flowchart TD</w:t>
        <w:br/>
        <w:t>A[Order Accepted] --&gt; B[Check Client Routing Instruction]</w:t>
        <w:br/>
        <w:t>B --&gt; C{Directed Instruction?}</w:t>
        <w:br/>
        <w:t>C -- Yes --&gt; D[Apply Directed Routing Rules]</w:t>
        <w:br/>
        <w:t>C -- No --&gt; E[Apply Internal Routing Policy]</w:t>
        <w:br/>
        <w:t>D --&gt; F[Route to Venue or Counterparty]</w:t>
        <w:br/>
        <w:t>E --&gt; F</w:t>
        <w:br/>
        <w:t>F --&gt; G[Log Routing Decision]</w:t>
        <w:br/>
        <w:t>G --&gt; Z[End]</w:t>
        <w:br/>
        <w:t>```</w:t>
      </w:r>
    </w:p>
    <w:p>
      <w:r>
        <w:t>F-AUD-012-002 — 定向路由处理与接收方义务确认</w:t>
      </w:r>
    </w:p>
    <w:p>
      <w:r>
        <w:t>requirement_refs: C3/C4/C8</w:t>
      </w:r>
    </w:p>
    <w:p>
      <w:r>
        <w:t>ASCII 流程图：</w:t>
      </w:r>
    </w:p>
    <w:p>
      <w:r>
        <w:t>[Directed Order Received] -&gt; [Validate Instruction Authenticity]</w:t>
        <w:br/>
        <w:t xml:space="preserve"> -&gt; [Route Promptly per Terms]</w:t>
        <w:br/>
        <w:t xml:space="preserve"> -&gt; [Confirm Receiving VASP Compliance Duty]</w:t>
        <w:br/>
        <w:t xml:space="preserve"> -&gt; [Capture Exceptions]</w:t>
        <w:br/>
        <w:t xml:space="preserve"> -&gt; [Archive Evidence] -&gt; [End]</w:t>
      </w:r>
    </w:p>
    <w:p>
      <w:r>
        <w:t>Mermaid 代码：</w:t>
      </w:r>
    </w:p>
    <w:p>
      <w:r>
        <w:t>```mermaid</w:t>
        <w:br/>
        <w:t>flowchart TD</w:t>
        <w:br/>
        <w:t>A[Directed Order Received] --&gt; B[Validate Instruction Authenticity]</w:t>
        <w:br/>
        <w:t>B --&gt; C[Route Promptly per Terms]</w:t>
        <w:br/>
        <w:t>C --&gt; D[Confirm Receiving VASP Compliance Duty]</w:t>
        <w:br/>
        <w:t>D --&gt; E[Capture Exceptions]</w:t>
        <w:br/>
        <w:t>E --&gt; F[Archive Evidence]</w:t>
        <w:br/>
        <w:t>F --&gt; Z[End]</w:t>
        <w:br/>
        <w:t>```</w:t>
      </w:r>
    </w:p>
    <w:p>
      <w:r>
        <w:t>F-AUD-012-003 — 季度执行质量复核与变更通知</w:t>
      </w:r>
    </w:p>
    <w:p>
      <w:r>
        <w:t>requirement_refs: C5/C6/C7</w:t>
      </w:r>
    </w:p>
    <w:p>
      <w:r>
        <w:t>ASCII 流程图：</w:t>
      </w:r>
    </w:p>
    <w:p>
      <w:r>
        <w:t>[Quarterly Trigger] -&gt; [Collect Execution Quality Data]</w:t>
        <w:br/>
        <w:t xml:space="preserve"> -&gt; [Compare with Alternative Markets/Sources]</w:t>
        <w:br/>
        <w:t xml:space="preserve"> -&gt; {Material Difference?}</w:t>
        <w:br/>
        <w:t xml:space="preserve">    No -&gt; [Document Justification]</w:t>
        <w:br/>
        <w:t xml:space="preserve">    Yes -&gt; [Modify Routing Arrangements]</w:t>
        <w:br/>
        <w:t xml:space="preserve"> -&gt; [Notify Ongoing Clients of Material Changes]</w:t>
        <w:br/>
        <w:t xml:space="preserve"> -&gt; [Archive Review Pack] -&gt; [End]</w:t>
      </w:r>
    </w:p>
    <w:p>
      <w:r>
        <w:t>Mermaid 代码：</w:t>
      </w:r>
    </w:p>
    <w:p>
      <w:r>
        <w:t>```mermaid</w:t>
        <w:br/>
        <w:t>flowchart TD</w:t>
        <w:br/>
        <w:t>A[Quarterly Trigger] --&gt; B[Collect Execution Quality Data]</w:t>
        <w:br/>
        <w:t>B --&gt; C[Compare with Alternative Markets or Sources]</w:t>
        <w:br/>
        <w:t>C --&gt; D{Material Difference?}</w:t>
        <w:br/>
        <w:t>D -- No --&gt; E[Document Justification]</w:t>
        <w:br/>
        <w:t>D -- Yes --&gt; F[Modify Routing Arrangements]</w:t>
        <w:br/>
        <w:t>E --&gt; G[Notify Ongoing Clients of Material Changes]</w:t>
        <w:br/>
        <w:t>F --&gt; G</w:t>
        <w:br/>
        <w:t>G --&gt; H[Archive Review Pack]</w:t>
        <w:br/>
        <w:t>H --&gt; Z[End]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路由政策制定与披露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日常路由决策执行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定向路由异常处置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季度质量复核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重大变化客户通知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年度政策复核与抽检响应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路由政策及披露文件</w:t>
            </w:r>
          </w:p>
        </w:tc>
        <w:tc>
          <w:tcPr>
            <w:tcW w:type="dxa" w:w="1728"/>
          </w:tcPr>
          <w:p>
            <w:r>
              <w:t>路由逻辑、集中度披露、版本号</w:t>
            </w:r>
          </w:p>
        </w:tc>
        <w:tc>
          <w:tcPr>
            <w:tcW w:type="dxa" w:w="1728"/>
          </w:tcPr>
          <w:p>
            <w:r>
              <w:t>政策发布时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C1/C2/C9</w:t>
            </w:r>
          </w:p>
        </w:tc>
      </w:tr>
      <w:tr>
        <w:tc>
          <w:tcPr>
            <w:tcW w:type="dxa" w:w="1728"/>
          </w:tcPr>
          <w:p>
            <w:r>
              <w:t>路由决策日志</w:t>
            </w:r>
          </w:p>
        </w:tc>
        <w:tc>
          <w:tcPr>
            <w:tcW w:type="dxa" w:w="1728"/>
          </w:tcPr>
          <w:p>
            <w:r>
              <w:t>订单ID、指令类型、去向、时间戳</w:t>
            </w:r>
          </w:p>
        </w:tc>
        <w:tc>
          <w:tcPr>
            <w:tcW w:type="dxa" w:w="1728"/>
          </w:tcPr>
          <w:p>
            <w:r>
              <w:t>每笔订单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C3/C8/C9</w:t>
            </w:r>
          </w:p>
        </w:tc>
      </w:tr>
      <w:tr>
        <w:tc>
          <w:tcPr>
            <w:tcW w:type="dxa" w:w="1728"/>
          </w:tcPr>
          <w:p>
            <w:r>
              <w:t>接收方义务确认记录</w:t>
            </w:r>
          </w:p>
        </w:tc>
        <w:tc>
          <w:tcPr>
            <w:tcW w:type="dxa" w:w="1728"/>
          </w:tcPr>
          <w:p>
            <w:r>
              <w:t>接收方身份、合规确认、异常说明</w:t>
            </w:r>
          </w:p>
        </w:tc>
        <w:tc>
          <w:tcPr>
            <w:tcW w:type="dxa" w:w="1728"/>
          </w:tcPr>
          <w:p>
            <w:r>
              <w:t>定向路由时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C4/C9</w:t>
            </w:r>
          </w:p>
        </w:tc>
      </w:tr>
      <w:tr>
        <w:tc>
          <w:tcPr>
            <w:tcW w:type="dxa" w:w="1728"/>
          </w:tcPr>
          <w:p>
            <w:r>
              <w:t>季度质量复核报告</w:t>
            </w:r>
          </w:p>
        </w:tc>
        <w:tc>
          <w:tcPr>
            <w:tcW w:type="dxa" w:w="1728"/>
          </w:tcPr>
          <w:p>
            <w:r>
              <w:t>对比基准、差异结论、调整/说明</w:t>
            </w:r>
          </w:p>
        </w:tc>
        <w:tc>
          <w:tcPr>
            <w:tcW w:type="dxa" w:w="1728"/>
          </w:tcPr>
          <w:p>
            <w:r>
              <w:t>每季度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C5/C6/C9</w:t>
            </w:r>
          </w:p>
        </w:tc>
      </w:tr>
      <w:tr>
        <w:tc>
          <w:tcPr>
            <w:tcW w:type="dxa" w:w="1728"/>
          </w:tcPr>
          <w:p>
            <w:r>
              <w:t>重大变化通知证据</w:t>
            </w:r>
          </w:p>
        </w:tc>
        <w:tc>
          <w:tcPr>
            <w:tcW w:type="dxa" w:w="1728"/>
          </w:tcPr>
          <w:p>
            <w:r>
              <w:t>通知对象、发送时间、内容摘要</w:t>
            </w:r>
          </w:p>
        </w:tc>
        <w:tc>
          <w:tcPr>
            <w:tcW w:type="dxa" w:w="1728"/>
          </w:tcPr>
          <w:p>
            <w:r>
              <w:t>重大变化触发时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C7/C9</w:t>
            </w:r>
          </w:p>
        </w:tc>
      </w:tr>
      <w:tr>
        <w:tc>
          <w:tcPr>
            <w:tcW w:type="dxa" w:w="1728"/>
          </w:tcPr>
          <w:p>
            <w:r>
              <w:t>年度政策有效性评估</w:t>
            </w:r>
          </w:p>
        </w:tc>
        <w:tc>
          <w:tcPr>
            <w:tcW w:type="dxa" w:w="1728"/>
          </w:tcPr>
          <w:p>
            <w:r>
              <w:t>缺陷与整改闭环</w:t>
            </w:r>
          </w:p>
        </w:tc>
        <w:tc>
          <w:tcPr>
            <w:tcW w:type="dxa" w:w="1728"/>
          </w:tcPr>
          <w:p>
            <w:r>
              <w:t>每年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C10/C9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路由策略披露</w:t>
            </w:r>
          </w:p>
        </w:tc>
        <w:tc>
          <w:tcPr>
            <w:tcW w:type="dxa" w:w="2160"/>
          </w:tcPr>
          <w:p>
            <w:r>
              <w:t>集中路由来源需对外披露</w:t>
            </w:r>
          </w:p>
        </w:tc>
        <w:tc>
          <w:tcPr>
            <w:tcW w:type="dxa" w:w="2160"/>
          </w:tcPr>
          <w:p>
            <w:r>
              <w:t>策略发布/变更时</w:t>
            </w:r>
          </w:p>
        </w:tc>
        <w:tc>
          <w:tcPr>
            <w:tcW w:type="dxa" w:w="2160"/>
          </w:tcPr>
          <w:p>
            <w:r>
              <w:t>C2</w:t>
            </w:r>
          </w:p>
        </w:tc>
      </w:tr>
      <w:tr>
        <w:tc>
          <w:tcPr>
            <w:tcW w:type="dxa" w:w="2160"/>
          </w:tcPr>
          <w:p>
            <w:r>
              <w:t>定向路由处理</w:t>
            </w:r>
          </w:p>
        </w:tc>
        <w:tc>
          <w:tcPr>
            <w:tcW w:type="dxa" w:w="2160"/>
          </w:tcPr>
          <w:p>
            <w:r>
              <w:t>按客户指令及时处理并留痕</w:t>
            </w:r>
          </w:p>
        </w:tc>
        <w:tc>
          <w:tcPr>
            <w:tcW w:type="dxa" w:w="2160"/>
          </w:tcPr>
          <w:p>
            <w:r>
              <w:t>每次触发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执行质量复核</w:t>
            </w:r>
          </w:p>
        </w:tc>
        <w:tc>
          <w:tcPr>
            <w:tcW w:type="dxa" w:w="2160"/>
          </w:tcPr>
          <w:p>
            <w:r>
              <w:t>至少季度复核并决定调整或说明</w:t>
            </w:r>
          </w:p>
        </w:tc>
        <w:tc>
          <w:tcPr>
            <w:tcW w:type="dxa" w:w="2160"/>
          </w:tcPr>
          <w:p>
            <w:r>
              <w:t>每季度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重大变化通知</w:t>
            </w:r>
          </w:p>
        </w:tc>
        <w:tc>
          <w:tcPr>
            <w:tcW w:type="dxa" w:w="2160"/>
          </w:tcPr>
          <w:p>
            <w:r>
              <w:t>执行安排重大变化需通知客户</w:t>
            </w:r>
          </w:p>
        </w:tc>
        <w:tc>
          <w:tcPr>
            <w:tcW w:type="dxa" w:w="2160"/>
          </w:tcPr>
          <w:p>
            <w:r>
              <w:t>变化触发时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政策有效性复核</w:t>
            </w:r>
          </w:p>
        </w:tc>
        <w:tc>
          <w:tcPr>
            <w:tcW w:type="dxa" w:w="2160"/>
          </w:tcPr>
          <w:p>
            <w:r>
              <w:t>至少年度复核</w:t>
            </w:r>
          </w:p>
        </w:tc>
        <w:tc>
          <w:tcPr>
            <w:tcW w:type="dxa" w:w="2160"/>
          </w:tcPr>
          <w:p>
            <w:r>
              <w:t>每年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关键记录不少于8年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C9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路由政策是否完整覆盖定向与非定向订单？</w:t>
      </w:r>
    </w:p>
    <w:p>
      <w:r>
        <w:t>2. 是否可证明路由集中度披露已对外发布并更新？</w:t>
      </w:r>
    </w:p>
    <w:p>
      <w:r>
        <w:t>3. 季度执行质量复核是否按时完成且有调整或说明？</w:t>
      </w:r>
    </w:p>
    <w:p>
      <w:r>
        <w:t>4. 重大执行安排变化是否已通知持续关系客户？</w:t>
      </w:r>
    </w:p>
    <w:p>
      <w:r>
        <w:t>5. 路由与复核证据是否满足 &gt;=8 years 留存要求？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路由策略缺少披露或披露过期。</w:t>
      </w:r>
    </w:p>
    <w:p>
      <w:pPr>
        <w:pStyle w:val="ListBullet"/>
      </w:pPr>
      <w:r>
        <w:t>定向路由处理超时或没有完整留痕。</w:t>
      </w:r>
    </w:p>
    <w:p>
      <w:pPr>
        <w:pStyle w:val="ListBullet"/>
      </w:pPr>
      <w:r>
        <w:t>季度执行质量复核缺失或仅有形式记录。</w:t>
      </w:r>
    </w:p>
    <w:p>
      <w:pPr>
        <w:pStyle w:val="ListBullet"/>
      </w:pPr>
      <w:r>
        <w:t>重大变化已实施但未通知客户。</w:t>
      </w:r>
    </w:p>
    <w:p>
      <w:pPr>
        <w:pStyle w:val="ListBullet"/>
      </w:pPr>
      <w:r>
        <w:t>关键记录留存不足8年。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