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CONFIDENTIAL</w:t>
      </w:r>
    </w:p>
    <w:p>
      <w:r>
        <w:t>CAP-013_Audit_Compliance_Guide_v2</w:t>
      </w:r>
    </w:p>
    <w:p>
      <w:r>
        <w:t>交易确认与费用披露 — 合规可审计版本</w:t>
      </w:r>
    </w:p>
    <w:p>
      <w:r>
        <w:t>Prepared for: Virtual Assets Regulatory Authority (VARA), Dubai</w:t>
      </w:r>
    </w:p>
    <w:p>
      <w:r>
        <w:t>Application Type: Broker-Dealer Licence (Fiat ↔ Virtual Asset Exchange)</w:t>
      </w:r>
    </w:p>
    <w:p>
      <w:pPr>
        <w:pStyle w:val="Heading1"/>
      </w:pPr>
      <w:r>
        <w:t>1. 文档控制信息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cap_id</w:t>
            </w:r>
          </w:p>
        </w:tc>
        <w:tc>
          <w:tcPr>
            <w:tcW w:type="dxa" w:w="4320"/>
          </w:tcPr>
          <w:p>
            <w:r>
              <w:t>CAP-013</w:t>
            </w:r>
          </w:p>
        </w:tc>
      </w:tr>
      <w:tr>
        <w:tc>
          <w:tcPr>
            <w:tcW w:type="dxa" w:w="4320"/>
          </w:tcPr>
          <w:p>
            <w:r>
              <w:t>cap_name</w:t>
            </w:r>
          </w:p>
        </w:tc>
        <w:tc>
          <w:tcPr>
            <w:tcW w:type="dxa" w:w="4320"/>
          </w:tcPr>
          <w:p>
            <w:r>
              <w:t>交易确认与费用披露</w:t>
            </w:r>
          </w:p>
        </w:tc>
      </w:tr>
      <w:tr>
        <w:tc>
          <w:tcPr>
            <w:tcW w:type="dxa" w:w="4320"/>
          </w:tcPr>
          <w:p>
            <w:r>
              <w:t>doc_type</w:t>
            </w:r>
          </w:p>
        </w:tc>
        <w:tc>
          <w:tcPr>
            <w:tcW w:type="dxa" w:w="4320"/>
          </w:tcPr>
          <w:p>
            <w:r>
              <w:t>audit_compliance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2026-02-09</w:t>
            </w:r>
          </w:p>
        </w:tc>
      </w:tr>
      <w:tr>
        <w:tc>
          <w:tcPr>
            <w:tcW w:type="dxa" w:w="4320"/>
          </w:tcPr>
          <w:p>
            <w:r>
              <w:t>profile_id</w:t>
            </w:r>
          </w:p>
        </w:tc>
        <w:tc>
          <w:tcPr>
            <w:tcW w:type="dxa" w:w="4320"/>
          </w:tcPr>
          <w:p>
            <w:r>
              <w:t>audit_compact_v1</w:t>
            </w:r>
          </w:p>
        </w:tc>
      </w:tr>
      <w:tr>
        <w:tc>
          <w:tcPr>
            <w:tcW w:type="dxa" w:w="4320"/>
          </w:tcPr>
          <w:p>
            <w:r>
              <w:t>tech_output_enabled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diagram_policy</w:t>
            </w:r>
          </w:p>
        </w:tc>
        <w:tc>
          <w:tcPr>
            <w:tcW w:type="dxa" w:w="4320"/>
          </w:tcPr>
          <w:p>
            <w:r>
              <w:t>ascii_required=true; mermaid_required=true; image_allowed=false</w:t>
            </w:r>
          </w:p>
        </w:tc>
      </w:tr>
      <w:tr>
        <w:tc>
          <w:tcPr>
            <w:tcW w:type="dxa" w:w="4320"/>
          </w:tcPr>
          <w:p>
            <w:r>
              <w:t>rulebook_scope</w:t>
            </w:r>
          </w:p>
        </w:tc>
        <w:tc>
          <w:tcPr>
            <w:tcW w:type="dxa" w:w="4320"/>
          </w:tcPr>
          <w:p>
            <w:r>
              <w:t>Broker-Dealer Part II.A.6; Market Conduct Part II.A/II.B; Compliance &amp; Risk Part I.F</w:t>
            </w:r>
          </w:p>
        </w:tc>
      </w:tr>
      <w:tr>
        <w:tc>
          <w:tcPr>
            <w:tcW w:type="dxa" w:w="4320"/>
          </w:tcPr>
          <w:p>
            <w:r>
              <w:t>language_policy</w:t>
            </w:r>
          </w:p>
        </w:tc>
        <w:tc>
          <w:tcPr>
            <w:tcW w:type="dxa" w:w="4320"/>
          </w:tcPr>
          <w:p>
            <w:r>
              <w:t>中文主体 + 英文原文引用</w:t>
            </w:r>
          </w:p>
        </w:tc>
      </w:tr>
      <w:tr>
        <w:tc>
          <w:tcPr>
            <w:tcW w:type="dxa" w:w="4320"/>
          </w:tcPr>
          <w:p>
            <w:r>
              <w:t>citation_style</w:t>
            </w:r>
          </w:p>
        </w:tc>
        <w:tc>
          <w:tcPr>
            <w:tcW w:type="dxa" w:w="4320"/>
          </w:tcPr>
          <w:p>
            <w:r>
              <w:t>Rulebook/Part/Rule/page</w:t>
            </w:r>
          </w:p>
        </w:tc>
      </w:tr>
    </w:tbl>
    <w:p/>
    <w:p>
      <w:pPr>
        <w:pStyle w:val="Heading1"/>
      </w:pPr>
      <w:r>
        <w:t>2. 文档接口契约（CAPDocStructure）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对象</w:t>
            </w:r>
          </w:p>
        </w:tc>
        <w:tc>
          <w:tcPr>
            <w:tcW w:type="dxa" w:w="2880"/>
          </w:tcPr>
          <w:p>
            <w:r>
              <w:t>必选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AuditDocMeta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cap_id/doc_type/version/date/rulebook_scope/language_policy/citation_style</w:t>
            </w:r>
          </w:p>
        </w:tc>
      </w:tr>
      <w:tr>
        <w:tc>
          <w:tcPr>
            <w:tcW w:type="dxa" w:w="2880"/>
          </w:tcPr>
          <w:p>
            <w:r>
              <w:t>FlowchartSpec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flow_id/section_anchor/ascii_block/mermaid_block/requirement_refs/intent</w:t>
            </w:r>
          </w:p>
        </w:tc>
      </w:tr>
      <w:tr>
        <w:tc>
          <w:tcPr>
            <w:tcW w:type="dxa" w:w="2880"/>
          </w:tcPr>
          <w:p>
            <w:r>
              <w:t>Citation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rulebook/part/rule/page/quote_en/interpretation_cn</w:t>
            </w:r>
          </w:p>
        </w:tc>
      </w:tr>
      <w:tr>
        <w:tc>
          <w:tcPr>
            <w:tcW w:type="dxa" w:w="2880"/>
          </w:tcPr>
          <w:p>
            <w:r>
              <w:t>ControlEvidenceRecord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control_id/evidence_type/created_at/retention_period/owner</w:t>
            </w:r>
          </w:p>
        </w:tc>
      </w:tr>
    </w:tbl>
    <w:p/>
    <w:p>
      <w:pPr>
        <w:pStyle w:val="Heading1"/>
      </w:pPr>
      <w:r>
        <w:t>3. 目的与范围</w:t>
      </w:r>
    </w:p>
    <w:p>
      <w:pPr>
        <w:pStyle w:val="ListBullet"/>
      </w:pPr>
      <w:r>
        <w:t>本文件定义 CAP-013 交易确认与费用披露的合规控制要求。</w:t>
      </w:r>
    </w:p>
    <w:p>
      <w:pPr>
        <w:pStyle w:val="ListBullet"/>
      </w:pPr>
      <w:r>
        <w:t>覆盖执行前费用披露、成交确认中的费用展示、费率变更通知与留痕。</w:t>
      </w:r>
    </w:p>
    <w:p>
      <w:pPr>
        <w:pStyle w:val="ListBullet"/>
      </w:pPr>
      <w:r>
        <w:t>与 CAP-002/003 边界：CAP-013聚焦交易层披露与确认，不重复协议模板治理。</w:t>
      </w:r>
    </w:p>
    <w:p>
      <w:pPr>
        <w:pStyle w:val="Heading1"/>
      </w:pPr>
      <w:r>
        <w:t>4. 监管依据（英文原文摘录 + 定位）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Quote (EN)</w:t>
            </w:r>
          </w:p>
        </w:tc>
        <w:tc>
          <w:tcPr>
            <w:tcW w:type="dxa" w:w="2160"/>
          </w:tcPr>
          <w:p>
            <w:r>
              <w:t>定位</w:t>
            </w:r>
          </w:p>
        </w:tc>
        <w:tc>
          <w:tcPr>
            <w:tcW w:type="dxa" w:w="2160"/>
          </w:tcPr>
          <w:p>
            <w:r>
              <w:t>监管含义(中文)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"disclose ... prior to Execution and in the trade confirmation ... fees or commission"</w:t>
            </w:r>
          </w:p>
        </w:tc>
        <w:tc>
          <w:tcPr>
            <w:tcW w:type="dxa" w:w="2160"/>
          </w:tcPr>
          <w:p>
            <w:r>
              <w:t>BD / Part II.A.6 / Rule II.A.6 / p8</w:t>
            </w:r>
          </w:p>
        </w:tc>
        <w:tc>
          <w:tcPr>
            <w:tcW w:type="dxa" w:w="2160"/>
          </w:tcPr>
          <w:p>
            <w:r>
              <w:t>费用/佣金需在执行前与成交确认双点披露。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"except where ... quote to ... another VASP, a Qualified Investor or an Institutional Investor"</w:t>
            </w:r>
          </w:p>
        </w:tc>
        <w:tc>
          <w:tcPr>
            <w:tcW w:type="dxa" w:w="2160"/>
          </w:tcPr>
          <w:p>
            <w:r>
              <w:t>BD / Part II.A.6 / Rule II.A.6 / p8</w:t>
            </w:r>
          </w:p>
        </w:tc>
        <w:tc>
          <w:tcPr>
            <w:tcW w:type="dxa" w:w="2160"/>
          </w:tcPr>
          <w:p>
            <w:r>
              <w:t>特定报价执行场景存在披露例外，需严格识别。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"all fees charged by the VASP for the services"</w:t>
            </w:r>
          </w:p>
        </w:tc>
        <w:tc>
          <w:tcPr>
            <w:tcW w:type="dxa" w:w="2160"/>
          </w:tcPr>
          <w:p>
            <w:r>
              <w:t>MC / Part II.B.1(e) / Rule II.B.1(e) / p6</w:t>
            </w:r>
          </w:p>
        </w:tc>
        <w:tc>
          <w:tcPr>
            <w:tcW w:type="dxa" w:w="2160"/>
          </w:tcPr>
          <w:p>
            <w:r>
              <w:t>客户协议层必须定义服务费项目。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"Client Agreements must ... be fair, clear, transparent, accurate and not misleading"</w:t>
            </w:r>
          </w:p>
        </w:tc>
        <w:tc>
          <w:tcPr>
            <w:tcW w:type="dxa" w:w="2160"/>
          </w:tcPr>
          <w:p>
            <w:r>
              <w:t>MC / Part II.A.4 / Rule II.A.4 / p5</w:t>
            </w:r>
          </w:p>
        </w:tc>
        <w:tc>
          <w:tcPr>
            <w:tcW w:type="dxa" w:w="2160"/>
          </w:tcPr>
          <w:p>
            <w:r>
              <w:t>费用披露内容必须清晰、准确且不误导。</w:t>
            </w:r>
          </w:p>
        </w:tc>
      </w:tr>
      <w:tr>
        <w:tc>
          <w:tcPr>
            <w:tcW w:type="dxa" w:w="2160"/>
          </w:tcPr>
          <w:p>
            <w:r>
              <w:t>C5</w:t>
            </w:r>
          </w:p>
        </w:tc>
        <w:tc>
          <w:tcPr>
            <w:tcW w:type="dxa" w:w="2160"/>
          </w:tcPr>
          <w:p>
            <w:r>
              <w:t>"notify clients of any change ... at least thirty (30) calendar days"</w:t>
            </w:r>
          </w:p>
        </w:tc>
        <w:tc>
          <w:tcPr>
            <w:tcW w:type="dxa" w:w="2160"/>
          </w:tcPr>
          <w:p>
            <w:r>
              <w:t>MC / Part II.A.7 / Rule II.A.7 / p5</w:t>
            </w:r>
          </w:p>
        </w:tc>
        <w:tc>
          <w:tcPr>
            <w:tcW w:type="dxa" w:w="2160"/>
          </w:tcPr>
          <w:p>
            <w:r>
              <w:t>费用条款变化须提前30天通知。</w:t>
            </w:r>
          </w:p>
        </w:tc>
      </w:tr>
      <w:tr>
        <w:tc>
          <w:tcPr>
            <w:tcW w:type="dxa" w:w="2160"/>
          </w:tcPr>
          <w:p>
            <w:r>
              <w:t>C6</w:t>
            </w:r>
          </w:p>
        </w:tc>
        <w:tc>
          <w:tcPr>
            <w:tcW w:type="dxa" w:w="2160"/>
          </w:tcPr>
          <w:p>
            <w:r>
              <w:t>"maintain a record of all versions ... identify all changes"</w:t>
            </w:r>
          </w:p>
        </w:tc>
        <w:tc>
          <w:tcPr>
            <w:tcW w:type="dxa" w:w="2160"/>
          </w:tcPr>
          <w:p>
            <w:r>
              <w:t>MC / Part II.A.9 / Rule II.A.9 / p5</w:t>
            </w:r>
          </w:p>
        </w:tc>
        <w:tc>
          <w:tcPr>
            <w:tcW w:type="dxa" w:w="2160"/>
          </w:tcPr>
          <w:p>
            <w:r>
              <w:t>费率版本与差异必须可追溯。</w:t>
            </w:r>
          </w:p>
        </w:tc>
      </w:tr>
      <w:tr>
        <w:tc>
          <w:tcPr>
            <w:tcW w:type="dxa" w:w="2160"/>
          </w:tcPr>
          <w:p>
            <w:r>
              <w:t>C7</w:t>
            </w:r>
          </w:p>
        </w:tc>
        <w:tc>
          <w:tcPr>
            <w:tcW w:type="dxa" w:w="2160"/>
          </w:tcPr>
          <w:p>
            <w:r>
              <w:t>"proper audit trails ... total amount of fees and charges"</w:t>
            </w:r>
          </w:p>
        </w:tc>
        <w:tc>
          <w:tcPr>
            <w:tcW w:type="dxa" w:w="2160"/>
          </w:tcPr>
          <w:p>
            <w:r>
              <w:t>CR / Part I.F.1(a) / Rule I.F.1(a) / p16</w:t>
            </w:r>
          </w:p>
        </w:tc>
        <w:tc>
          <w:tcPr>
            <w:tcW w:type="dxa" w:w="2160"/>
          </w:tcPr>
          <w:p>
            <w:r>
              <w:t>成交确认和费用明细须形成审计轨迹。</w:t>
            </w:r>
          </w:p>
        </w:tc>
      </w:tr>
      <w:tr>
        <w:tc>
          <w:tcPr>
            <w:tcW w:type="dxa" w:w="2160"/>
          </w:tcPr>
          <w:p>
            <w:r>
              <w:t>C8</w:t>
            </w:r>
          </w:p>
        </w:tc>
        <w:tc>
          <w:tcPr>
            <w:tcW w:type="dxa" w:w="2160"/>
          </w:tcPr>
          <w:p>
            <w:r>
              <w:t>"retain each such record ... no less than eight (8) years"</w:t>
            </w:r>
          </w:p>
        </w:tc>
        <w:tc>
          <w:tcPr>
            <w:tcW w:type="dxa" w:w="2160"/>
          </w:tcPr>
          <w:p>
            <w:r>
              <w:t>CR / Part I.F.2 / Rule I.F.2 / p17</w:t>
            </w:r>
          </w:p>
        </w:tc>
        <w:tc>
          <w:tcPr>
            <w:tcW w:type="dxa" w:w="2160"/>
          </w:tcPr>
          <w:p>
            <w:r>
              <w:t>交易确认与披露记录留存不少于8年。</w:t>
            </w:r>
          </w:p>
        </w:tc>
      </w:tr>
    </w:tbl>
    <w:p/>
    <w:p>
      <w:pPr>
        <w:pStyle w:val="Heading1"/>
      </w:pPr>
      <w:r>
        <w:t>5. 标准流程（仅监管流程）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阶段</w:t>
            </w:r>
          </w:p>
        </w:tc>
        <w:tc>
          <w:tcPr>
            <w:tcW w:type="dxa" w:w="1440"/>
          </w:tcPr>
          <w:p>
            <w:r>
              <w:t>流程动作</w:t>
            </w:r>
          </w:p>
        </w:tc>
        <w:tc>
          <w:tcPr>
            <w:tcW w:type="dxa" w:w="1440"/>
          </w:tcPr>
          <w:p>
            <w:r>
              <w:t>监管要求</w:t>
            </w:r>
          </w:p>
        </w:tc>
        <w:tc>
          <w:tcPr>
            <w:tcW w:type="dxa" w:w="1440"/>
          </w:tcPr>
          <w:p>
            <w:r>
              <w:t>通过标准</w:t>
            </w:r>
          </w:p>
        </w:tc>
        <w:tc>
          <w:tcPr>
            <w:tcW w:type="dxa" w:w="1440"/>
          </w:tcPr>
          <w:p>
            <w:r>
              <w:t>不通过处置</w:t>
            </w:r>
          </w:p>
        </w:tc>
        <w:tc>
          <w:tcPr>
            <w:tcW w:type="dxa" w:w="1440"/>
          </w:tcPr>
          <w:p>
            <w:r>
              <w:t>证据输出</w:t>
            </w:r>
          </w:p>
        </w:tc>
      </w:tr>
      <w:tr>
        <w:tc>
          <w:tcPr>
            <w:tcW w:type="dxa" w:w="1440"/>
          </w:tcPr>
          <w:p>
            <w:r>
              <w:t>S1</w:t>
            </w:r>
          </w:p>
        </w:tc>
        <w:tc>
          <w:tcPr>
            <w:tcW w:type="dxa" w:w="1440"/>
          </w:tcPr>
          <w:p>
            <w:r>
              <w:t>费用规则加载</w:t>
            </w:r>
          </w:p>
        </w:tc>
        <w:tc>
          <w:tcPr>
            <w:tcW w:type="dxa" w:w="1440"/>
          </w:tcPr>
          <w:p>
            <w:r>
              <w:t>费用项目明确且不误导（C3/C4）</w:t>
            </w:r>
          </w:p>
        </w:tc>
        <w:tc>
          <w:tcPr>
            <w:tcW w:type="dxa" w:w="1440"/>
          </w:tcPr>
          <w:p>
            <w:r>
              <w:t>费率版本正确</w:t>
            </w:r>
          </w:p>
        </w:tc>
        <w:tc>
          <w:tcPr>
            <w:tcW w:type="dxa" w:w="1440"/>
          </w:tcPr>
          <w:p>
            <w:r>
              <w:t>阻断下单</w:t>
            </w:r>
          </w:p>
        </w:tc>
        <w:tc>
          <w:tcPr>
            <w:tcW w:type="dxa" w:w="1440"/>
          </w:tcPr>
          <w:p>
            <w:r>
              <w:t>费率版本加载日志</w:t>
            </w:r>
          </w:p>
        </w:tc>
      </w:tr>
      <w:tr>
        <w:tc>
          <w:tcPr>
            <w:tcW w:type="dxa" w:w="1440"/>
          </w:tcPr>
          <w:p>
            <w:r>
              <w:t>S2</w:t>
            </w:r>
          </w:p>
        </w:tc>
        <w:tc>
          <w:tcPr>
            <w:tcW w:type="dxa" w:w="1440"/>
          </w:tcPr>
          <w:p>
            <w:r>
              <w:t>执行前费用披露</w:t>
            </w:r>
          </w:p>
        </w:tc>
        <w:tc>
          <w:tcPr>
            <w:tcW w:type="dxa" w:w="1440"/>
          </w:tcPr>
          <w:p>
            <w:r>
              <w:t>执行前披露义务（C1）</w:t>
            </w:r>
          </w:p>
        </w:tc>
        <w:tc>
          <w:tcPr>
            <w:tcW w:type="dxa" w:w="1440"/>
          </w:tcPr>
          <w:p>
            <w:r>
              <w:t>客户可见且可追溯</w:t>
            </w:r>
          </w:p>
        </w:tc>
        <w:tc>
          <w:tcPr>
            <w:tcW w:type="dxa" w:w="1440"/>
          </w:tcPr>
          <w:p>
            <w:r>
              <w:t>禁止执行</w:t>
            </w:r>
          </w:p>
        </w:tc>
        <w:tc>
          <w:tcPr>
            <w:tcW w:type="dxa" w:w="1440"/>
          </w:tcPr>
          <w:p>
            <w:r>
              <w:t>披露回执</w:t>
            </w:r>
          </w:p>
        </w:tc>
      </w:tr>
      <w:tr>
        <w:tc>
          <w:tcPr>
            <w:tcW w:type="dxa" w:w="1440"/>
          </w:tcPr>
          <w:p>
            <w:r>
              <w:t>S3</w:t>
            </w:r>
          </w:p>
        </w:tc>
        <w:tc>
          <w:tcPr>
            <w:tcW w:type="dxa" w:w="1440"/>
          </w:tcPr>
          <w:p>
            <w:r>
              <w:t>例外场景识别</w:t>
            </w:r>
          </w:p>
        </w:tc>
        <w:tc>
          <w:tcPr>
            <w:tcW w:type="dxa" w:w="1440"/>
          </w:tcPr>
          <w:p>
            <w:r>
              <w:t>II.A.6例外正确识别（C2）</w:t>
            </w:r>
          </w:p>
        </w:tc>
        <w:tc>
          <w:tcPr>
            <w:tcW w:type="dxa" w:w="1440"/>
          </w:tcPr>
          <w:p>
            <w:r>
              <w:t>例外适用准确</w:t>
            </w:r>
          </w:p>
        </w:tc>
        <w:tc>
          <w:tcPr>
            <w:tcW w:type="dxa" w:w="1440"/>
          </w:tcPr>
          <w:p>
            <w:r>
              <w:t>转常规披露路径</w:t>
            </w:r>
          </w:p>
        </w:tc>
        <w:tc>
          <w:tcPr>
            <w:tcW w:type="dxa" w:w="1440"/>
          </w:tcPr>
          <w:p>
            <w:r>
              <w:t>例外判定记录</w:t>
            </w:r>
          </w:p>
        </w:tc>
      </w:tr>
      <w:tr>
        <w:tc>
          <w:tcPr>
            <w:tcW w:type="dxa" w:w="1440"/>
          </w:tcPr>
          <w:p>
            <w:r>
              <w:t>S4</w:t>
            </w:r>
          </w:p>
        </w:tc>
        <w:tc>
          <w:tcPr>
            <w:tcW w:type="dxa" w:w="1440"/>
          </w:tcPr>
          <w:p>
            <w:r>
              <w:t>成交确认生成</w:t>
            </w:r>
          </w:p>
        </w:tc>
        <w:tc>
          <w:tcPr>
            <w:tcW w:type="dxa" w:w="1440"/>
          </w:tcPr>
          <w:p>
            <w:r>
              <w:t>确认单费用字段完整（C1/C7）</w:t>
            </w:r>
          </w:p>
        </w:tc>
        <w:tc>
          <w:tcPr>
            <w:tcW w:type="dxa" w:w="1440"/>
          </w:tcPr>
          <w:p>
            <w:r>
              <w:t>确认单可复核</w:t>
            </w:r>
          </w:p>
        </w:tc>
        <w:tc>
          <w:tcPr>
            <w:tcW w:type="dxa" w:w="1440"/>
          </w:tcPr>
          <w:p>
            <w:r>
              <w:t>重发确认单</w:t>
            </w:r>
          </w:p>
        </w:tc>
        <w:tc>
          <w:tcPr>
            <w:tcW w:type="dxa" w:w="1440"/>
          </w:tcPr>
          <w:p>
            <w:r>
              <w:t>确认单与发送日志</w:t>
            </w:r>
          </w:p>
        </w:tc>
      </w:tr>
      <w:tr>
        <w:tc>
          <w:tcPr>
            <w:tcW w:type="dxa" w:w="1440"/>
          </w:tcPr>
          <w:p>
            <w:r>
              <w:t>S5</w:t>
            </w:r>
          </w:p>
        </w:tc>
        <w:tc>
          <w:tcPr>
            <w:tcW w:type="dxa" w:w="1440"/>
          </w:tcPr>
          <w:p>
            <w:r>
              <w:t>费率变更通知</w:t>
            </w:r>
          </w:p>
        </w:tc>
        <w:tc>
          <w:tcPr>
            <w:tcW w:type="dxa" w:w="1440"/>
          </w:tcPr>
          <w:p>
            <w:r>
              <w:t>提前30天通知+版本差异（C5/C6）</w:t>
            </w:r>
          </w:p>
        </w:tc>
        <w:tc>
          <w:tcPr>
            <w:tcW w:type="dxa" w:w="1440"/>
          </w:tcPr>
          <w:p>
            <w:r>
              <w:t>通知窗口合规</w:t>
            </w:r>
          </w:p>
        </w:tc>
        <w:tc>
          <w:tcPr>
            <w:tcW w:type="dxa" w:w="1440"/>
          </w:tcPr>
          <w:p>
            <w:r>
              <w:t>延期生效</w:t>
            </w:r>
          </w:p>
        </w:tc>
        <w:tc>
          <w:tcPr>
            <w:tcW w:type="dxa" w:w="1440"/>
          </w:tcPr>
          <w:p>
            <w:r>
              <w:t>通知记录与差异报告</w:t>
            </w:r>
          </w:p>
        </w:tc>
      </w:tr>
      <w:tr>
        <w:tc>
          <w:tcPr>
            <w:tcW w:type="dxa" w:w="1440"/>
          </w:tcPr>
          <w:p>
            <w:r>
              <w:t>S6</w:t>
            </w:r>
          </w:p>
        </w:tc>
        <w:tc>
          <w:tcPr>
            <w:tcW w:type="dxa" w:w="1440"/>
          </w:tcPr>
          <w:p>
            <w:r>
              <w:t>归档与抽检</w:t>
            </w:r>
          </w:p>
        </w:tc>
        <w:tc>
          <w:tcPr>
            <w:tcW w:type="dxa" w:w="1440"/>
          </w:tcPr>
          <w:p>
            <w:r>
              <w:t>8年留存与可导出（C8）</w:t>
            </w:r>
          </w:p>
        </w:tc>
        <w:tc>
          <w:tcPr>
            <w:tcW w:type="dxa" w:w="1440"/>
          </w:tcPr>
          <w:p>
            <w:r>
              <w:t>抽检可回放</w:t>
            </w:r>
          </w:p>
        </w:tc>
        <w:tc>
          <w:tcPr>
            <w:tcW w:type="dxa" w:w="1440"/>
          </w:tcPr>
          <w:p>
            <w:r>
              <w:t>补录整改</w:t>
            </w:r>
          </w:p>
        </w:tc>
        <w:tc>
          <w:tcPr>
            <w:tcW w:type="dxa" w:w="1440"/>
          </w:tcPr>
          <w:p>
            <w:r>
              <w:t>归档台账</w:t>
            </w:r>
          </w:p>
        </w:tc>
      </w:tr>
    </w:tbl>
    <w:p/>
    <w:p>
      <w:pPr>
        <w:pStyle w:val="Heading1"/>
      </w:pPr>
      <w:r>
        <w:t>6. 流程图（ASCII + Mermaid）</w:t>
      </w:r>
    </w:p>
    <w:p>
      <w:r>
        <w:t>F-AUD-013-001 — 执行前费用披露门禁流程</w:t>
      </w:r>
    </w:p>
    <w:p>
      <w:r>
        <w:t>requirement_refs: C1/C3/C4</w:t>
      </w:r>
    </w:p>
    <w:p>
      <w:r>
        <w:t>ASCII 流程图：</w:t>
      </w:r>
    </w:p>
    <w:p>
      <w:r>
        <w:t>[Order Ready] -&gt; [Load Fee Schedule Version]</w:t>
        <w:br/>
        <w:t xml:space="preserve"> -&gt; [Generate Pre-trade Fee Disclosure]</w:t>
        <w:br/>
        <w:t xml:space="preserve"> -&gt; {Client Acknowledged?}</w:t>
        <w:br/>
        <w:t xml:space="preserve">    No -&gt; [Block Execution]</w:t>
        <w:br/>
        <w:t xml:space="preserve">    Yes -&gt; [Allow Execution]</w:t>
        <w:br/>
        <w:t xml:space="preserve"> -&gt; [Log Disclosure Evidence] -&gt; [End]</w:t>
      </w:r>
    </w:p>
    <w:p>
      <w:r>
        <w:t>Mermaid 代码：</w:t>
      </w:r>
    </w:p>
    <w:p>
      <w:r>
        <w:t>```mermaid</w:t>
        <w:br/>
        <w:t>flowchart TD</w:t>
        <w:br/>
        <w:t>A[Order Ready] --&gt; B[Load Fee Schedule Version]</w:t>
        <w:br/>
        <w:t>B --&gt; C[Generate Pre-trade Fee Disclosure]</w:t>
        <w:br/>
        <w:t>C --&gt; D{Client Acknowledged?}</w:t>
        <w:br/>
        <w:t>D -- No --&gt; E[Block Execution]</w:t>
        <w:br/>
        <w:t>D -- Yes --&gt; F[Allow Execution]</w:t>
        <w:br/>
        <w:t>E --&gt; G[Log Disclosure Evidence]</w:t>
        <w:br/>
        <w:t>F --&gt; G</w:t>
        <w:br/>
        <w:t>G --&gt; Z[End]</w:t>
        <w:br/>
        <w:t>```</w:t>
      </w:r>
    </w:p>
    <w:p>
      <w:r>
        <w:t>F-AUD-013-002 — 成交确认与费用披露流程</w:t>
      </w:r>
    </w:p>
    <w:p>
      <w:r>
        <w:t>requirement_refs: C1/C2/C7</w:t>
      </w:r>
    </w:p>
    <w:p>
      <w:r>
        <w:t>ASCII 流程图：</w:t>
      </w:r>
    </w:p>
    <w:p>
      <w:r>
        <w:t>[Execution Completed] -&gt; [Check II.A.6 Exception Conditions]</w:t>
        <w:br/>
        <w:t xml:space="preserve"> -&gt; {Exception Applies?}</w:t>
        <w:br/>
        <w:t xml:space="preserve">    Yes -&gt; [Tag Exception + Record Basis]</w:t>
        <w:br/>
        <w:t xml:space="preserve">    No -&gt; [Include Retained Fee/Commission]</w:t>
        <w:br/>
        <w:t xml:space="preserve"> -&gt; [Generate Trade Confirmation]</w:t>
        <w:br/>
        <w:t xml:space="preserve"> -&gt; [Deliver to Client] -&gt; [Archive Confirmation]</w:t>
      </w:r>
    </w:p>
    <w:p>
      <w:r>
        <w:t>Mermaid 代码：</w:t>
      </w:r>
    </w:p>
    <w:p>
      <w:r>
        <w:t>```mermaid</w:t>
        <w:br/>
        <w:t>flowchart TD</w:t>
        <w:br/>
        <w:t>A[Execution Completed] --&gt; B[Check II.A.6 Exception Conditions]</w:t>
        <w:br/>
        <w:t>B --&gt; C{Exception Applies?}</w:t>
        <w:br/>
        <w:t>C -- Yes --&gt; D[Tag Exception and Record Basis]</w:t>
        <w:br/>
        <w:t>C -- No --&gt; E[Include Retained Fee or Commission]</w:t>
        <w:br/>
        <w:t>D --&gt; F[Generate Trade Confirmation]</w:t>
        <w:br/>
        <w:t>E --&gt; F</w:t>
        <w:br/>
        <w:t>F --&gt; G[Deliver to Client]</w:t>
        <w:br/>
        <w:t>G --&gt; H[Archive Confirmation]</w:t>
        <w:br/>
        <w:t>```</w:t>
      </w:r>
    </w:p>
    <w:p>
      <w:r>
        <w:t>F-AUD-013-003 — 费率变更30天通知流程</w:t>
      </w:r>
    </w:p>
    <w:p>
      <w:r>
        <w:t>requirement_refs: C5/C6/C8</w:t>
      </w:r>
    </w:p>
    <w:p>
      <w:r>
        <w:t>ASCII 流程图：</w:t>
      </w:r>
    </w:p>
    <w:p>
      <w:r>
        <w:t>[Fee Change Request] -&gt; [Generate Version Diff]</w:t>
        <w:br/>
        <w:t xml:space="preserve"> -&gt; [Impact Assessment]</w:t>
        <w:br/>
        <w:t xml:space="preserve"> -&gt; [Issue Notice to Affected Clients]</w:t>
        <w:br/>
        <w:t xml:space="preserve"> -&gt; [Track 30-day Window]</w:t>
        <w:br/>
        <w:t xml:space="preserve"> -&gt; [Activate New Fee Version]</w:t>
        <w:br/>
        <w:t xml:space="preserve"> -&gt; [Archive Diff + Notices + Acceptances]</w:t>
      </w:r>
    </w:p>
    <w:p>
      <w:r>
        <w:t>Mermaid 代码：</w:t>
      </w:r>
    </w:p>
    <w:p>
      <w:r>
        <w:t>```mermaid</w:t>
        <w:br/>
        <w:t>flowchart TD</w:t>
        <w:br/>
        <w:t>A[Fee Change Request] --&gt; B[Generate Version Diff]</w:t>
        <w:br/>
        <w:t>B --&gt; C[Impact Assessment]</w:t>
        <w:br/>
        <w:t>C --&gt; D[Issue Notice to Affected Clients]</w:t>
        <w:br/>
        <w:t>D --&gt; E[Track 30-day Window]</w:t>
        <w:br/>
        <w:t>E --&gt; F[Activate New Fee Version]</w:t>
        <w:br/>
        <w:t>F --&gt; G[Archive Diff Notices and Acceptances]</w:t>
        <w:br/>
        <w:t>```</w:t>
      </w:r>
    </w:p>
    <w:p>
      <w:pPr>
        <w:pStyle w:val="Heading1"/>
      </w:pPr>
      <w:r>
        <w:t>7. RACI（职责矩阵）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活动</w:t>
            </w:r>
          </w:p>
        </w:tc>
        <w:tc>
          <w:tcPr>
            <w:tcW w:type="dxa" w:w="1234"/>
          </w:tcPr>
          <w:p>
            <w:r>
              <w:t>Board</w:t>
            </w:r>
          </w:p>
        </w:tc>
        <w:tc>
          <w:tcPr>
            <w:tcW w:type="dxa" w:w="1234"/>
          </w:tcPr>
          <w:p>
            <w:r>
              <w:t>Compliance</w:t>
            </w:r>
          </w:p>
        </w:tc>
        <w:tc>
          <w:tcPr>
            <w:tcW w:type="dxa" w:w="1234"/>
          </w:tcPr>
          <w:p>
            <w:r>
              <w:t>Risk/Ops</w:t>
            </w:r>
          </w:p>
        </w:tc>
        <w:tc>
          <w:tcPr>
            <w:tcW w:type="dxa" w:w="1234"/>
          </w:tcPr>
          <w:p>
            <w:r>
              <w:t>Technology</w:t>
            </w:r>
          </w:p>
        </w:tc>
        <w:tc>
          <w:tcPr>
            <w:tcW w:type="dxa" w:w="1234"/>
          </w:tcPr>
          <w:p>
            <w:r>
              <w:t>MLRO</w:t>
            </w:r>
          </w:p>
        </w:tc>
        <w:tc>
          <w:tcPr>
            <w:tcW w:type="dxa" w:w="1234"/>
          </w:tcPr>
          <w:p>
            <w:r>
              <w:t>Internal Audit</w:t>
            </w:r>
          </w:p>
        </w:tc>
      </w:tr>
      <w:tr>
        <w:tc>
          <w:tcPr>
            <w:tcW w:type="dxa" w:w="1234"/>
          </w:tcPr>
          <w:p>
            <w:r>
              <w:t>费用披露规则审批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执行前披露门禁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成交确认生成与发送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例外场景复核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费率变更通知执行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抽检与整改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</w:tr>
    </w:tbl>
    <w:p/>
    <w:p>
      <w:pPr>
        <w:pStyle w:val="Heading1"/>
      </w:pPr>
      <w:r>
        <w:t>8. 证据与留存要求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证据项</w:t>
            </w:r>
          </w:p>
        </w:tc>
        <w:tc>
          <w:tcPr>
            <w:tcW w:type="dxa" w:w="1728"/>
          </w:tcPr>
          <w:p>
            <w:r>
              <w:t>最低内容</w:t>
            </w:r>
          </w:p>
        </w:tc>
        <w:tc>
          <w:tcPr>
            <w:tcW w:type="dxa" w:w="1728"/>
          </w:tcPr>
          <w:p>
            <w:r>
              <w:t>形成时点</w:t>
            </w:r>
          </w:p>
        </w:tc>
        <w:tc>
          <w:tcPr>
            <w:tcW w:type="dxa" w:w="1728"/>
          </w:tcPr>
          <w:p>
            <w:r>
              <w:t>留存要求</w:t>
            </w:r>
          </w:p>
        </w:tc>
        <w:tc>
          <w:tcPr>
            <w:tcW w:type="dxa" w:w="1728"/>
          </w:tcPr>
          <w:p>
            <w:r>
              <w:t>条款锚点</w:t>
            </w:r>
          </w:p>
        </w:tc>
      </w:tr>
      <w:tr>
        <w:tc>
          <w:tcPr>
            <w:tcW w:type="dxa" w:w="1728"/>
          </w:tcPr>
          <w:p>
            <w:r>
              <w:t>执行前披露回执</w:t>
            </w:r>
          </w:p>
        </w:tc>
        <w:tc>
          <w:tcPr>
            <w:tcW w:type="dxa" w:w="1728"/>
          </w:tcPr>
          <w:p>
            <w:r>
              <w:t>订单ID、披露内容、时间、确认状态</w:t>
            </w:r>
          </w:p>
        </w:tc>
        <w:tc>
          <w:tcPr>
            <w:tcW w:type="dxa" w:w="1728"/>
          </w:tcPr>
          <w:p>
            <w:r>
              <w:t>每笔订单执行前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C1/C8</w:t>
            </w:r>
          </w:p>
        </w:tc>
      </w:tr>
      <w:tr>
        <w:tc>
          <w:tcPr>
            <w:tcW w:type="dxa" w:w="1728"/>
          </w:tcPr>
          <w:p>
            <w:r>
              <w:t>例外判定记录</w:t>
            </w:r>
          </w:p>
        </w:tc>
        <w:tc>
          <w:tcPr>
            <w:tcW w:type="dxa" w:w="1728"/>
          </w:tcPr>
          <w:p>
            <w:r>
              <w:t>适用条件、判定依据、审批人</w:t>
            </w:r>
          </w:p>
        </w:tc>
        <w:tc>
          <w:tcPr>
            <w:tcW w:type="dxa" w:w="1728"/>
          </w:tcPr>
          <w:p>
            <w:r>
              <w:t>每次例外触发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C2/C8</w:t>
            </w:r>
          </w:p>
        </w:tc>
      </w:tr>
      <w:tr>
        <w:tc>
          <w:tcPr>
            <w:tcW w:type="dxa" w:w="1728"/>
          </w:tcPr>
          <w:p>
            <w:r>
              <w:t>成交确认记录</w:t>
            </w:r>
          </w:p>
        </w:tc>
        <w:tc>
          <w:tcPr>
            <w:tcW w:type="dxa" w:w="1728"/>
          </w:tcPr>
          <w:p>
            <w:r>
              <w:t>成交时间、数量、价格、费用/佣金</w:t>
            </w:r>
          </w:p>
        </w:tc>
        <w:tc>
          <w:tcPr>
            <w:tcW w:type="dxa" w:w="1728"/>
          </w:tcPr>
          <w:p>
            <w:r>
              <w:t>每笔成交后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C1/C7/C8</w:t>
            </w:r>
          </w:p>
        </w:tc>
      </w:tr>
      <w:tr>
        <w:tc>
          <w:tcPr>
            <w:tcW w:type="dxa" w:w="1728"/>
          </w:tcPr>
          <w:p>
            <w:r>
              <w:t>费率版本与差异</w:t>
            </w:r>
          </w:p>
        </w:tc>
        <w:tc>
          <w:tcPr>
            <w:tcW w:type="dxa" w:w="1728"/>
          </w:tcPr>
          <w:p>
            <w:r>
              <w:t>版本号、差异内容、生效日期</w:t>
            </w:r>
          </w:p>
        </w:tc>
        <w:tc>
          <w:tcPr>
            <w:tcW w:type="dxa" w:w="1728"/>
          </w:tcPr>
          <w:p>
            <w:r>
              <w:t>每次费率变更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C5/C6/C8</w:t>
            </w:r>
          </w:p>
        </w:tc>
      </w:tr>
      <w:tr>
        <w:tc>
          <w:tcPr>
            <w:tcW w:type="dxa" w:w="1728"/>
          </w:tcPr>
          <w:p>
            <w:r>
              <w:t>变更通知证据</w:t>
            </w:r>
          </w:p>
        </w:tc>
        <w:tc>
          <w:tcPr>
            <w:tcW w:type="dxa" w:w="1728"/>
          </w:tcPr>
          <w:p>
            <w:r>
              <w:t>通知对象、发送时间、30天窗口证明</w:t>
            </w:r>
          </w:p>
        </w:tc>
        <w:tc>
          <w:tcPr>
            <w:tcW w:type="dxa" w:w="1728"/>
          </w:tcPr>
          <w:p>
            <w:r>
              <w:t>每次费率变更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C5/C8</w:t>
            </w:r>
          </w:p>
        </w:tc>
      </w:tr>
    </w:tbl>
    <w:p/>
    <w:p>
      <w:pPr>
        <w:pStyle w:val="Heading1"/>
      </w:pPr>
      <w:r>
        <w:t>9. 时效与频率要求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控制主题</w:t>
            </w:r>
          </w:p>
        </w:tc>
        <w:tc>
          <w:tcPr>
            <w:tcW w:type="dxa" w:w="2160"/>
          </w:tcPr>
          <w:p>
            <w:r>
              <w:t>要求</w:t>
            </w:r>
          </w:p>
        </w:tc>
        <w:tc>
          <w:tcPr>
            <w:tcW w:type="dxa" w:w="2160"/>
          </w:tcPr>
          <w:p>
            <w:r>
              <w:t>频率/触发</w:t>
            </w:r>
          </w:p>
        </w:tc>
        <w:tc>
          <w:tcPr>
            <w:tcW w:type="dxa" w:w="2160"/>
          </w:tcPr>
          <w:p>
            <w:r>
              <w:t>条款锚点</w:t>
            </w:r>
          </w:p>
        </w:tc>
      </w:tr>
      <w:tr>
        <w:tc>
          <w:tcPr>
            <w:tcW w:type="dxa" w:w="2160"/>
          </w:tcPr>
          <w:p>
            <w:r>
              <w:t>执行前费用披露</w:t>
            </w:r>
          </w:p>
        </w:tc>
        <w:tc>
          <w:tcPr>
            <w:tcW w:type="dxa" w:w="2160"/>
          </w:tcPr>
          <w:p>
            <w:r>
              <w:t>下单执行前完成披露</w:t>
            </w:r>
          </w:p>
        </w:tc>
        <w:tc>
          <w:tcPr>
            <w:tcW w:type="dxa" w:w="2160"/>
          </w:tcPr>
          <w:p>
            <w:r>
              <w:t>每笔订单</w:t>
            </w:r>
          </w:p>
        </w:tc>
        <w:tc>
          <w:tcPr>
            <w:tcW w:type="dxa" w:w="2160"/>
          </w:tcPr>
          <w:p>
            <w:r>
              <w:t>C1</w:t>
            </w:r>
          </w:p>
        </w:tc>
      </w:tr>
      <w:tr>
        <w:tc>
          <w:tcPr>
            <w:tcW w:type="dxa" w:w="2160"/>
          </w:tcPr>
          <w:p>
            <w:r>
              <w:t>成交确认发送</w:t>
            </w:r>
          </w:p>
        </w:tc>
        <w:tc>
          <w:tcPr>
            <w:tcW w:type="dxa" w:w="2160"/>
          </w:tcPr>
          <w:p>
            <w:r>
              <w:t>成交后生成并发送确认</w:t>
            </w:r>
          </w:p>
        </w:tc>
        <w:tc>
          <w:tcPr>
            <w:tcW w:type="dxa" w:w="2160"/>
          </w:tcPr>
          <w:p>
            <w:r>
              <w:t>每笔成交</w:t>
            </w:r>
          </w:p>
        </w:tc>
        <w:tc>
          <w:tcPr>
            <w:tcW w:type="dxa" w:w="2160"/>
          </w:tcPr>
          <w:p>
            <w:r>
              <w:t>C1/C7</w:t>
            </w:r>
          </w:p>
        </w:tc>
      </w:tr>
      <w:tr>
        <w:tc>
          <w:tcPr>
            <w:tcW w:type="dxa" w:w="2160"/>
          </w:tcPr>
          <w:p>
            <w:r>
              <w:t>例外识别</w:t>
            </w:r>
          </w:p>
        </w:tc>
        <w:tc>
          <w:tcPr>
            <w:tcW w:type="dxa" w:w="2160"/>
          </w:tcPr>
          <w:p>
            <w:r>
              <w:t>II.A.6例外场景需即时判定</w:t>
            </w:r>
          </w:p>
        </w:tc>
        <w:tc>
          <w:tcPr>
            <w:tcW w:type="dxa" w:w="2160"/>
          </w:tcPr>
          <w:p>
            <w:r>
              <w:t>每次触发</w:t>
            </w:r>
          </w:p>
        </w:tc>
        <w:tc>
          <w:tcPr>
            <w:tcW w:type="dxa" w:w="2160"/>
          </w:tcPr>
          <w:p>
            <w:r>
              <w:t>C2</w:t>
            </w:r>
          </w:p>
        </w:tc>
      </w:tr>
      <w:tr>
        <w:tc>
          <w:tcPr>
            <w:tcW w:type="dxa" w:w="2160"/>
          </w:tcPr>
          <w:p>
            <w:r>
              <w:t>费率变更通知</w:t>
            </w:r>
          </w:p>
        </w:tc>
        <w:tc>
          <w:tcPr>
            <w:tcW w:type="dxa" w:w="2160"/>
          </w:tcPr>
          <w:p>
            <w:r>
              <w:t>至少提前30 calendar days通知</w:t>
            </w:r>
          </w:p>
        </w:tc>
        <w:tc>
          <w:tcPr>
            <w:tcW w:type="dxa" w:w="2160"/>
          </w:tcPr>
          <w:p>
            <w:r>
              <w:t>每次费率变更</w:t>
            </w:r>
          </w:p>
        </w:tc>
        <w:tc>
          <w:tcPr>
            <w:tcW w:type="dxa" w:w="2160"/>
          </w:tcPr>
          <w:p>
            <w:r>
              <w:t>C5</w:t>
            </w:r>
          </w:p>
        </w:tc>
      </w:tr>
      <w:tr>
        <w:tc>
          <w:tcPr>
            <w:tcW w:type="dxa" w:w="2160"/>
          </w:tcPr>
          <w:p>
            <w:r>
              <w:t>记录留存</w:t>
            </w:r>
          </w:p>
        </w:tc>
        <w:tc>
          <w:tcPr>
            <w:tcW w:type="dxa" w:w="2160"/>
          </w:tcPr>
          <w:p>
            <w:r>
              <w:t>关键记录不少于8年</w:t>
            </w:r>
          </w:p>
        </w:tc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C8</w:t>
            </w:r>
          </w:p>
        </w:tc>
      </w:tr>
    </w:tbl>
    <w:p/>
    <w:p>
      <w:pPr>
        <w:pStyle w:val="Heading1"/>
      </w:pPr>
      <w:r>
        <w:t>10. 提交前自查清单</w:t>
      </w:r>
    </w:p>
    <w:p>
      <w:r>
        <w:t>1. 执行前披露是否覆盖全部费用/佣金并可追溯？</w:t>
      </w:r>
    </w:p>
    <w:p>
      <w:r>
        <w:t>2. 成交确认是否包含监管要求的费用字段？</w:t>
      </w:r>
    </w:p>
    <w:p>
      <w:r>
        <w:t>3. II.A.6 例外场景是否有明确判定和证据？</w:t>
      </w:r>
    </w:p>
    <w:p>
      <w:r>
        <w:t>4. 费率变更是否满足至少30天通知窗口？</w:t>
      </w:r>
    </w:p>
    <w:p>
      <w:r>
        <w:t>5. 披露与确认记录是否满足 &gt;=8 years 留存？</w:t>
      </w:r>
    </w:p>
    <w:p>
      <w:pPr>
        <w:pStyle w:val="Heading1"/>
      </w:pPr>
      <w:r>
        <w:t>11. 常见不符合项</w:t>
      </w:r>
    </w:p>
    <w:p>
      <w:pPr>
        <w:pStyle w:val="ListBullet"/>
      </w:pPr>
      <w:r>
        <w:t>执行前未披露费用即执行订单。</w:t>
      </w:r>
    </w:p>
    <w:p>
      <w:pPr>
        <w:pStyle w:val="ListBullet"/>
      </w:pPr>
      <w:r>
        <w:t>成交确认缺少费用/佣金细项。</w:t>
      </w:r>
    </w:p>
    <w:p>
      <w:pPr>
        <w:pStyle w:val="ListBullet"/>
      </w:pPr>
      <w:r>
        <w:t>例外场景适用错误或无判定依据。</w:t>
      </w:r>
    </w:p>
    <w:p>
      <w:pPr>
        <w:pStyle w:val="ListBullet"/>
      </w:pPr>
      <w:r>
        <w:t>费率变更通知时间不足30天。</w:t>
      </w:r>
    </w:p>
    <w:p>
      <w:pPr>
        <w:pStyle w:val="ListBullet"/>
      </w:pPr>
      <w:r>
        <w:t>证据留存不足8年。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