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</w:t>
      </w:r>
    </w:p>
    <w:p>
      <w:r>
        <w:t>CAP-014_Audit_Compliance_Guide_v2</w:t>
      </w:r>
    </w:p>
    <w:p>
      <w:r>
        <w:t>清分与结算服务 — 合规可审计版本</w:t>
      </w:r>
    </w:p>
    <w:p>
      <w:r>
        <w:t>Prepared for: Virtual Assets Regulatory Authority (VARA), Dubai</w:t>
      </w:r>
    </w:p>
    <w:p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CAP-014</w:t>
            </w:r>
          </w:p>
        </w:tc>
      </w:tr>
      <w:tr>
        <w:tc>
          <w:tcPr>
            <w:tcW w:type="dxa" w:w="4320"/>
          </w:tcPr>
          <w:p>
            <w:r>
              <w:t>cap_name</w:t>
            </w:r>
          </w:p>
        </w:tc>
        <w:tc>
          <w:tcPr>
            <w:tcW w:type="dxa" w:w="4320"/>
          </w:tcPr>
          <w:p>
            <w:r>
              <w:t>清分与结算服务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profile_id</w:t>
            </w:r>
          </w:p>
        </w:tc>
        <w:tc>
          <w:tcPr>
            <w:tcW w:type="dxa" w:w="4320"/>
          </w:tcPr>
          <w:p>
            <w:r>
              <w:t>audit_compact_v1</w:t>
            </w:r>
          </w:p>
        </w:tc>
      </w:tr>
      <w:tr>
        <w:tc>
          <w:tcPr>
            <w:tcW w:type="dxa" w:w="4320"/>
          </w:tcPr>
          <w:p>
            <w:r>
              <w:t>tech_output_enabled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diagram_policy</w:t>
            </w:r>
          </w:p>
        </w:tc>
        <w:tc>
          <w:tcPr>
            <w:tcW w:type="dxa" w:w="4320"/>
          </w:tcPr>
          <w:p>
            <w:r>
              <w:t>ascii_required=true; mermaid_required=true; image_allowed=false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Broker-Dealer Part I.B/II.A; Compliance &amp; Risk Part IV/V and Part 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AuditDocMeta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rulebook/part/rule/page/quote_en/interpretation_cn</w:t>
            </w:r>
          </w:p>
        </w:tc>
      </w:tr>
      <w:tr>
        <w:tc>
          <w:tcPr>
            <w:tcW w:type="dxa" w:w="2880"/>
          </w:tcPr>
          <w:p>
            <w:r>
              <w:t>ControlEvidenceRecord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control_id/evidence_type/created_at/retention_period/owner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CAP-014 清分与结算服务的合规控制要求。</w:t>
      </w:r>
    </w:p>
    <w:p>
      <w:pPr>
        <w:pStyle w:val="ListBullet"/>
      </w:pPr>
      <w:r>
        <w:t>覆盖成交后清分指令、交收时效、异常处理、资金与虚拟资产日对账。</w:t>
      </w:r>
    </w:p>
    <w:p>
      <w:pPr>
        <w:pStyle w:val="ListBullet"/>
      </w:pPr>
      <w:r>
        <w:t>与 CAP-016/018 边界：CAP-014聚焦交易后清分结算编排，不替代客户资产隔离制度本体。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"whether the VASP ... provides clearing services for other VASPs ... include a description"</w:t>
            </w:r>
          </w:p>
        </w:tc>
        <w:tc>
          <w:tcPr>
            <w:tcW w:type="dxa" w:w="2160"/>
          </w:tcPr>
          <w:p>
            <w:r>
              <w:t>BD / Part I.B.1(f) / Rule I.B.1(f) / p5</w:t>
            </w:r>
          </w:p>
        </w:tc>
        <w:tc>
          <w:tcPr>
            <w:tcW w:type="dxa" w:w="2160"/>
          </w:tcPr>
          <w:p>
            <w:r>
              <w:t>清分服务能力与范围应明确披露。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"due consideration ... likelihood of Execution and settlement"</w:t>
            </w:r>
          </w:p>
        </w:tc>
        <w:tc>
          <w:tcPr>
            <w:tcW w:type="dxa" w:w="2160"/>
          </w:tcPr>
          <w:p>
            <w:r>
              <w:t>BD / Part II.A.1 / Rule II.A.1 / p7</w:t>
            </w:r>
          </w:p>
        </w:tc>
        <w:tc>
          <w:tcPr>
            <w:tcW w:type="dxa" w:w="2160"/>
          </w:tcPr>
          <w:p>
            <w:r>
              <w:t>执行与结算应作为一体化目标控制。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"systems have the capacity and capabilities to Execute client orders"</w:t>
            </w:r>
          </w:p>
        </w:tc>
        <w:tc>
          <w:tcPr>
            <w:tcW w:type="dxa" w:w="2160"/>
          </w:tcPr>
          <w:p>
            <w:r>
              <w:t>BD / Part II.A.15 / Rule II.A.15 / p10</w:t>
            </w:r>
          </w:p>
        </w:tc>
        <w:tc>
          <w:tcPr>
            <w:tcW w:type="dxa" w:w="2160"/>
          </w:tcPr>
          <w:p>
            <w:r>
              <w:t>结算相关系统能力需充分。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"delivery versus payment ... due ... within one (1) calendar day"</w:t>
            </w:r>
          </w:p>
        </w:tc>
        <w:tc>
          <w:tcPr>
            <w:tcW w:type="dxa" w:w="2160"/>
          </w:tcPr>
          <w:p>
            <w:r>
              <w:t>CR / Part IV.B.6(b) / Rule IV.B.6(b)(i)(ii) / p38</w:t>
            </w:r>
          </w:p>
        </w:tc>
        <w:tc>
          <w:tcPr>
            <w:tcW w:type="dxa" w:w="2160"/>
          </w:tcPr>
          <w:p>
            <w:r>
              <w:t>DVP场景需满足1天内交收/付款时效。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"pay Client Money ... where ... not fulfilled ... within three (3) calendar days"</w:t>
            </w:r>
          </w:p>
        </w:tc>
        <w:tc>
          <w:tcPr>
            <w:tcW w:type="dxa" w:w="2160"/>
          </w:tcPr>
          <w:p>
            <w:r>
              <w:t>CR / Part IV.B.7 / Rule IV.B.7 / p38</w:t>
            </w:r>
          </w:p>
        </w:tc>
        <w:tc>
          <w:tcPr>
            <w:tcW w:type="dxa" w:w="2160"/>
          </w:tcPr>
          <w:p>
            <w:r>
              <w:t>DVP超期3天需转入Client Account并升级处理。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"accurate reconciliations ... carried out daily"</w:t>
            </w:r>
          </w:p>
        </w:tc>
        <w:tc>
          <w:tcPr>
            <w:tcW w:type="dxa" w:w="2160"/>
          </w:tcPr>
          <w:p>
            <w:r>
              <w:t>CR / Part IV.E.1-3 / Rule IV.E / p42</w:t>
            </w:r>
          </w:p>
        </w:tc>
        <w:tc>
          <w:tcPr>
            <w:tcW w:type="dxa" w:w="2160"/>
          </w:tcPr>
          <w:p>
            <w:r>
              <w:t>客户资金对账必须每日执行。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"reconciliations ... Virtual Assets ... carried out daily"</w:t>
            </w:r>
          </w:p>
        </w:tc>
        <w:tc>
          <w:tcPr>
            <w:tcW w:type="dxa" w:w="2160"/>
          </w:tcPr>
          <w:p>
            <w:r>
              <w:t>CR / Part V.D.1 / Rule V.D.1 / p45</w:t>
            </w:r>
          </w:p>
        </w:tc>
        <w:tc>
          <w:tcPr>
            <w:tcW w:type="dxa" w:w="2160"/>
          </w:tcPr>
          <w:p>
            <w:r>
              <w:t>客户虚拟资产对账必须每日执行。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"statement ... at least monthly ... prepared within twenty-five (25) calendar days"</w:t>
            </w:r>
          </w:p>
        </w:tc>
        <w:tc>
          <w:tcPr>
            <w:tcW w:type="dxa" w:w="2160"/>
          </w:tcPr>
          <w:p>
            <w:r>
              <w:t>CR / Part IV.D.2 / Rule IV.D.2 / p41</w:t>
            </w:r>
          </w:p>
        </w:tc>
        <w:tc>
          <w:tcPr>
            <w:tcW w:type="dxa" w:w="2160"/>
          </w:tcPr>
          <w:p>
            <w:r>
              <w:t>客户资金对账单至少每月并在25天内出具。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"notify VARA where there has been a material discrepancy ... not been rectified"</w:t>
            </w:r>
          </w:p>
        </w:tc>
        <w:tc>
          <w:tcPr>
            <w:tcW w:type="dxa" w:w="2160"/>
          </w:tcPr>
          <w:p>
            <w:r>
              <w:t>CR / Part IV.E.5 / Rule IV.E.5 / p42</w:t>
            </w:r>
          </w:p>
        </w:tc>
        <w:tc>
          <w:tcPr>
            <w:tcW w:type="dxa" w:w="2160"/>
          </w:tcPr>
          <w:p>
            <w:r>
              <w:t>重大未修复差异必须通知VARA。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CR / Part I.F.2 / Rule I.F.2 / p17</w:t>
            </w:r>
          </w:p>
        </w:tc>
        <w:tc>
          <w:tcPr>
            <w:tcW w:type="dxa" w:w="2160"/>
          </w:tcPr>
          <w:p>
            <w:r>
              <w:t>清分结算证据留存不少于8年。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清分义务生成</w:t>
            </w:r>
          </w:p>
        </w:tc>
        <w:tc>
          <w:tcPr>
            <w:tcW w:type="dxa" w:w="1440"/>
          </w:tcPr>
          <w:p>
            <w:r>
              <w:t>清分服务范围明确（C1）</w:t>
            </w:r>
          </w:p>
        </w:tc>
        <w:tc>
          <w:tcPr>
            <w:tcW w:type="dxa" w:w="1440"/>
          </w:tcPr>
          <w:p>
            <w:r>
              <w:t>义务要素完整</w:t>
            </w:r>
          </w:p>
        </w:tc>
        <w:tc>
          <w:tcPr>
            <w:tcW w:type="dxa" w:w="1440"/>
          </w:tcPr>
          <w:p>
            <w:r>
              <w:t>退回重算</w:t>
            </w:r>
          </w:p>
        </w:tc>
        <w:tc>
          <w:tcPr>
            <w:tcW w:type="dxa" w:w="1440"/>
          </w:tcPr>
          <w:p>
            <w:r>
              <w:t>清分义务清单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交收时效控制</w:t>
            </w:r>
          </w:p>
        </w:tc>
        <w:tc>
          <w:tcPr>
            <w:tcW w:type="dxa" w:w="1440"/>
          </w:tcPr>
          <w:p>
            <w:r>
              <w:t>执行与结算一致性（C2/C4）</w:t>
            </w:r>
          </w:p>
        </w:tc>
        <w:tc>
          <w:tcPr>
            <w:tcW w:type="dxa" w:w="1440"/>
          </w:tcPr>
          <w:p>
            <w:r>
              <w:t>1天窗口满足</w:t>
            </w:r>
          </w:p>
        </w:tc>
        <w:tc>
          <w:tcPr>
            <w:tcW w:type="dxa" w:w="1440"/>
          </w:tcPr>
          <w:p>
            <w:r>
              <w:t>启动异常处置</w:t>
            </w:r>
          </w:p>
        </w:tc>
        <w:tc>
          <w:tcPr>
            <w:tcW w:type="dxa" w:w="1440"/>
          </w:tcPr>
          <w:p>
            <w:r>
              <w:t>交收时效日志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超期异常处置</w:t>
            </w:r>
          </w:p>
        </w:tc>
        <w:tc>
          <w:tcPr>
            <w:tcW w:type="dxa" w:w="1440"/>
          </w:tcPr>
          <w:p>
            <w:r>
              <w:t>3天超期转Client Account（C5）</w:t>
            </w:r>
          </w:p>
        </w:tc>
        <w:tc>
          <w:tcPr>
            <w:tcW w:type="dxa" w:w="1440"/>
          </w:tcPr>
          <w:p>
            <w:r>
              <w:t>处置及时</w:t>
            </w:r>
          </w:p>
        </w:tc>
        <w:tc>
          <w:tcPr>
            <w:tcW w:type="dxa" w:w="1440"/>
          </w:tcPr>
          <w:p>
            <w:r>
              <w:t>升级并补偿/纠偏</w:t>
            </w:r>
          </w:p>
        </w:tc>
        <w:tc>
          <w:tcPr>
            <w:tcW w:type="dxa" w:w="1440"/>
          </w:tcPr>
          <w:p>
            <w:r>
              <w:t>异常工单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资金日对账</w:t>
            </w:r>
          </w:p>
        </w:tc>
        <w:tc>
          <w:tcPr>
            <w:tcW w:type="dxa" w:w="1440"/>
          </w:tcPr>
          <w:p>
            <w:r>
              <w:t>客户资金每日对账（C6）</w:t>
            </w:r>
          </w:p>
        </w:tc>
        <w:tc>
          <w:tcPr>
            <w:tcW w:type="dxa" w:w="1440"/>
          </w:tcPr>
          <w:p>
            <w:r>
              <w:t>差异已闭环</w:t>
            </w:r>
          </w:p>
        </w:tc>
        <w:tc>
          <w:tcPr>
            <w:tcW w:type="dxa" w:w="1440"/>
          </w:tcPr>
          <w:p>
            <w:r>
              <w:t>启动调查</w:t>
            </w:r>
          </w:p>
        </w:tc>
        <w:tc>
          <w:tcPr>
            <w:tcW w:type="dxa" w:w="1440"/>
          </w:tcPr>
          <w:p>
            <w:r>
              <w:t>资金对账报告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VA日对账与监管通知</w:t>
            </w:r>
          </w:p>
        </w:tc>
        <w:tc>
          <w:tcPr>
            <w:tcW w:type="dxa" w:w="1440"/>
          </w:tcPr>
          <w:p>
            <w:r>
              <w:t>客户VA日对账+重大差异通知（C7/C9）</w:t>
            </w:r>
          </w:p>
        </w:tc>
        <w:tc>
          <w:tcPr>
            <w:tcW w:type="dxa" w:w="1440"/>
          </w:tcPr>
          <w:p>
            <w:r>
              <w:t>差异可解释</w:t>
            </w:r>
          </w:p>
        </w:tc>
        <w:tc>
          <w:tcPr>
            <w:tcW w:type="dxa" w:w="1440"/>
          </w:tcPr>
          <w:p>
            <w:r>
              <w:t>通知VARA并整改</w:t>
            </w:r>
          </w:p>
        </w:tc>
        <w:tc>
          <w:tcPr>
            <w:tcW w:type="dxa" w:w="1440"/>
          </w:tcPr>
          <w:p>
            <w:r>
              <w:t>VA对账报告与通知记录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客户报表与归档</w:t>
            </w:r>
          </w:p>
        </w:tc>
        <w:tc>
          <w:tcPr>
            <w:tcW w:type="dxa" w:w="1440"/>
          </w:tcPr>
          <w:p>
            <w:r>
              <w:t>月报表+8年留存（C8/C10）</w:t>
            </w:r>
          </w:p>
        </w:tc>
        <w:tc>
          <w:tcPr>
            <w:tcW w:type="dxa" w:w="1440"/>
          </w:tcPr>
          <w:p>
            <w:r>
              <w:t>报表按时可导出</w:t>
            </w:r>
          </w:p>
        </w:tc>
        <w:tc>
          <w:tcPr>
            <w:tcW w:type="dxa" w:w="1440"/>
          </w:tcPr>
          <w:p>
            <w:r>
              <w:t>补发并纠偏</w:t>
            </w:r>
          </w:p>
        </w:tc>
        <w:tc>
          <w:tcPr>
            <w:tcW w:type="dxa" w:w="1440"/>
          </w:tcPr>
          <w:p>
            <w:r>
              <w:t>月度报表与归档台账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t>F-AUD-014-001 — 成交后清分与结算流程</w:t>
      </w:r>
    </w:p>
    <w:p>
      <w:r>
        <w:t>requirement_refs: C1/C2/C3</w:t>
      </w:r>
    </w:p>
    <w:p>
      <w:r>
        <w:t>ASCII 流程图：</w:t>
      </w:r>
    </w:p>
    <w:p>
      <w:r>
        <w:t>[Trade Executed] -&gt; [Generate Clearing Obligations]</w:t>
        <w:br/>
        <w:t xml:space="preserve"> -&gt; [Match Cash/VA Movements]</w:t>
        <w:br/>
        <w:t xml:space="preserve"> -&gt; [Submit Settlement Instructions]</w:t>
        <w:br/>
        <w:t xml:space="preserve"> -&gt; [Confirm Settlement Completion]</w:t>
        <w:br/>
        <w:t xml:space="preserve"> -&gt; [Record Settlement Evidence] -&gt; [End]</w:t>
      </w:r>
    </w:p>
    <w:p>
      <w:r>
        <w:t>Mermaid 代码：</w:t>
      </w:r>
    </w:p>
    <w:p>
      <w:r>
        <w:t>```mermaid</w:t>
        <w:br/>
        <w:t>flowchart TD</w:t>
        <w:br/>
        <w:t>A[Trade Executed] --&gt; B[Generate Clearing Obligations]</w:t>
        <w:br/>
        <w:t>B --&gt; C[Match Cash and VA Movements]</w:t>
        <w:br/>
        <w:t>C --&gt; D[Submit Settlement Instructions]</w:t>
        <w:br/>
        <w:t>D --&gt; E[Confirm Settlement Completion]</w:t>
        <w:br/>
        <w:t>E --&gt; F[Record Settlement Evidence]</w:t>
        <w:br/>
        <w:t>F --&gt; Z[End]</w:t>
        <w:br/>
        <w:t>```</w:t>
      </w:r>
    </w:p>
    <w:p>
      <w:r>
        <w:t>F-AUD-014-002 — DVP时效与3天超期处置流程</w:t>
      </w:r>
    </w:p>
    <w:p>
      <w:r>
        <w:t>requirement_refs: C4/C5</w:t>
      </w:r>
    </w:p>
    <w:p>
      <w:r>
        <w:t>ASCII 流程图：</w:t>
      </w:r>
    </w:p>
    <w:p>
      <w:r>
        <w:t>[Client Money Received for DvP] -&gt; [Track 1-day Delivery/Payment Window]</w:t>
        <w:br/>
        <w:t xml:space="preserve"> -&gt; {Fulfilled within 1 day?}</w:t>
        <w:br/>
        <w:t xml:space="preserve">    Yes -&gt; [Complete DvP Settlement]</w:t>
        <w:br/>
        <w:t xml:space="preserve">    No -&gt; [Start 3-day Breach Counter]</w:t>
        <w:br/>
        <w:t xml:space="preserve"> -&gt; {Unfulfilled at 3 days?}</w:t>
        <w:br/>
        <w:t xml:space="preserve">    No -&gt; [Close Exception]</w:t>
        <w:br/>
        <w:t xml:space="preserve">    Yes -&gt; [Pay into Client Account + Escalate]</w:t>
        <w:br/>
        <w:t xml:space="preserve"> -&gt; [Archive Exception Case]</w:t>
      </w:r>
    </w:p>
    <w:p>
      <w:r>
        <w:t>Mermaid 代码：</w:t>
      </w:r>
    </w:p>
    <w:p>
      <w:r>
        <w:t>```mermaid</w:t>
        <w:br/>
        <w:t>flowchart TD</w:t>
        <w:br/>
        <w:t>A[Client Money Received for DvP] --&gt; B[Track 1-day Delivery or Payment Window]</w:t>
        <w:br/>
        <w:t>B --&gt; C{Fulfilled within 1 day?}</w:t>
        <w:br/>
        <w:t>C -- Yes --&gt; D[Complete DvP Settlement]</w:t>
        <w:br/>
        <w:t>C -- No --&gt; E[Start 3-day Breach Counter]</w:t>
        <w:br/>
        <w:t>E --&gt; F{Unfulfilled at 3 days?}</w:t>
        <w:br/>
        <w:t>F -- No --&gt; G[Close Exception]</w:t>
        <w:br/>
        <w:t>F -- Yes --&gt; H[Pay into Client Account and Escalate]</w:t>
        <w:br/>
        <w:t>D --&gt; I[Archive Exception Case]</w:t>
        <w:br/>
        <w:t>G --&gt; I</w:t>
        <w:br/>
        <w:t>H --&gt; I</w:t>
        <w:br/>
        <w:t>```</w:t>
      </w:r>
    </w:p>
    <w:p>
      <w:r>
        <w:t>F-AUD-014-003 — 日对账与重大差异通知流程</w:t>
      </w:r>
    </w:p>
    <w:p>
      <w:r>
        <w:t>requirement_refs: C6/C7/C9</w:t>
      </w:r>
    </w:p>
    <w:p>
      <w:r>
        <w:t>ASCII 流程图：</w:t>
      </w:r>
    </w:p>
    <w:p>
      <w:r>
        <w:t>[Daily Reconciliation Trigger] -&gt; [Reconcile Client Money Ledgers and Bank Balances]</w:t>
        <w:br/>
        <w:t xml:space="preserve"> -&gt; [Reconcile Client VA Credit/Debit Ledgers]</w:t>
        <w:br/>
        <w:t xml:space="preserve"> -&gt; {Material Discrepancy?}</w:t>
        <w:br/>
        <w:t xml:space="preserve">    No -&gt; [Record Reconciliation Pack]</w:t>
        <w:br/>
        <w:t xml:space="preserve">    Yes -&gt; [Investigate + Corrective Action]</w:t>
        <w:br/>
        <w:t xml:space="preserve"> -&gt; {Rectified?}</w:t>
        <w:br/>
        <w:t xml:space="preserve">    No -&gt; [Notify VARA]</w:t>
        <w:br/>
        <w:t xml:space="preserve">    Yes -&gt; [Close Case]</w:t>
        <w:br/>
        <w:t xml:space="preserve"> -&gt; [Archive Evidence]</w:t>
      </w:r>
    </w:p>
    <w:p>
      <w:r>
        <w:t>Mermaid 代码：</w:t>
      </w:r>
    </w:p>
    <w:p>
      <w:r>
        <w:t>```mermaid</w:t>
        <w:br/>
        <w:t>flowchart TD</w:t>
        <w:br/>
        <w:t>A[Daily Reconciliation Trigger] --&gt; B[Reconcile Client Money Ledgers and Bank Balances]</w:t>
        <w:br/>
        <w:t>B --&gt; C[Reconcile Client VA Credit and Debit Ledgers]</w:t>
        <w:br/>
        <w:t>C --&gt; D{Material Discrepancy?}</w:t>
        <w:br/>
        <w:t>D -- No --&gt; E[Record Reconciliation Pack]</w:t>
        <w:br/>
        <w:t>D -- Yes --&gt; F[Investigate and Corrective Action]</w:t>
        <w:br/>
        <w:t>F --&gt; G{Rectified?}</w:t>
        <w:br/>
        <w:t>G -- No --&gt; H[Notify VARA]</w:t>
        <w:br/>
        <w:t>G -- Yes --&gt; I[Close Case]</w:t>
        <w:br/>
        <w:t>E --&gt; J[Archive Evidence]</w:t>
        <w:br/>
        <w:t>H --&gt; J</w:t>
        <w:br/>
        <w:t>I --&gt; J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Risk/Ops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MLRO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</w:tr>
      <w:tr>
        <w:tc>
          <w:tcPr>
            <w:tcW w:type="dxa" w:w="1234"/>
          </w:tcPr>
          <w:p>
            <w:r>
              <w:t>清分结算政策审批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交收时效监控与处置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DVP异常升级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资金/VA日对账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</w:tr>
      <w:tr>
        <w:tc>
          <w:tcPr>
            <w:tcW w:type="dxa" w:w="1234"/>
          </w:tcPr>
          <w:p>
            <w:r>
              <w:t>重大差异监管通知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月报表与档案管理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清分义务记录</w:t>
            </w:r>
          </w:p>
        </w:tc>
        <w:tc>
          <w:tcPr>
            <w:tcW w:type="dxa" w:w="1728"/>
          </w:tcPr>
          <w:p>
            <w:r>
              <w:t>交易ID、应收应付、交收指令</w:t>
            </w:r>
          </w:p>
        </w:tc>
        <w:tc>
          <w:tcPr>
            <w:tcW w:type="dxa" w:w="1728"/>
          </w:tcPr>
          <w:p>
            <w:r>
              <w:t>每笔成交后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C1/C2/C10</w:t>
            </w:r>
          </w:p>
        </w:tc>
      </w:tr>
      <w:tr>
        <w:tc>
          <w:tcPr>
            <w:tcW w:type="dxa" w:w="1728"/>
          </w:tcPr>
          <w:p>
            <w:r>
              <w:t>DVP时效日志</w:t>
            </w:r>
          </w:p>
        </w:tc>
        <w:tc>
          <w:tcPr>
            <w:tcW w:type="dxa" w:w="1728"/>
          </w:tcPr>
          <w:p>
            <w:r>
              <w:t>资金到达时间、交收完成时间、超期标识</w:t>
            </w:r>
          </w:p>
        </w:tc>
        <w:tc>
          <w:tcPr>
            <w:tcW w:type="dxa" w:w="1728"/>
          </w:tcPr>
          <w:p>
            <w:r>
              <w:t>每笔DVP交易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C4/C5/C10</w:t>
            </w:r>
          </w:p>
        </w:tc>
      </w:tr>
      <w:tr>
        <w:tc>
          <w:tcPr>
            <w:tcW w:type="dxa" w:w="1728"/>
          </w:tcPr>
          <w:p>
            <w:r>
              <w:t>异常处置工单</w:t>
            </w:r>
          </w:p>
        </w:tc>
        <w:tc>
          <w:tcPr>
            <w:tcW w:type="dxa" w:w="1728"/>
          </w:tcPr>
          <w:p>
            <w:r>
              <w:t>超期原因、纠偏动作、审批轨迹</w:t>
            </w:r>
          </w:p>
        </w:tc>
        <w:tc>
          <w:tcPr>
            <w:tcW w:type="dxa" w:w="1728"/>
          </w:tcPr>
          <w:p>
            <w:r>
              <w:t>异常触发时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C5/C10</w:t>
            </w:r>
          </w:p>
        </w:tc>
      </w:tr>
      <w:tr>
        <w:tc>
          <w:tcPr>
            <w:tcW w:type="dxa" w:w="1728"/>
          </w:tcPr>
          <w:p>
            <w:r>
              <w:t>日对账报告</w:t>
            </w:r>
          </w:p>
        </w:tc>
        <w:tc>
          <w:tcPr>
            <w:tcW w:type="dxa" w:w="1728"/>
          </w:tcPr>
          <w:p>
            <w:r>
              <w:t>资金与VA对账明细、差异结论</w:t>
            </w:r>
          </w:p>
        </w:tc>
        <w:tc>
          <w:tcPr>
            <w:tcW w:type="dxa" w:w="1728"/>
          </w:tcPr>
          <w:p>
            <w:r>
              <w:t>每日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C6/C7/C10</w:t>
            </w:r>
          </w:p>
        </w:tc>
      </w:tr>
      <w:tr>
        <w:tc>
          <w:tcPr>
            <w:tcW w:type="dxa" w:w="1728"/>
          </w:tcPr>
          <w:p>
            <w:r>
              <w:t>VARA通知记录</w:t>
            </w:r>
          </w:p>
        </w:tc>
        <w:tc>
          <w:tcPr>
            <w:tcW w:type="dxa" w:w="1728"/>
          </w:tcPr>
          <w:p>
            <w:r>
              <w:t>重大差异说明、通知时间、后续整改</w:t>
            </w:r>
          </w:p>
        </w:tc>
        <w:tc>
          <w:tcPr>
            <w:tcW w:type="dxa" w:w="1728"/>
          </w:tcPr>
          <w:p>
            <w:r>
              <w:t>通知触发时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  <w:tr>
        <w:tc>
          <w:tcPr>
            <w:tcW w:type="dxa" w:w="1728"/>
          </w:tcPr>
          <w:p>
            <w:r>
              <w:t>月度客户报表</w:t>
            </w:r>
          </w:p>
        </w:tc>
        <w:tc>
          <w:tcPr>
            <w:tcW w:type="dxa" w:w="1728"/>
          </w:tcPr>
          <w:p>
            <w:r>
              <w:t>余额、收支明细、报表生成时间</w:t>
            </w:r>
          </w:p>
        </w:tc>
        <w:tc>
          <w:tcPr>
            <w:tcW w:type="dxa" w:w="1728"/>
          </w:tcPr>
          <w:p>
            <w:r>
              <w:t>每月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C8/C10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DVP交收时效</w:t>
            </w:r>
          </w:p>
        </w:tc>
        <w:tc>
          <w:tcPr>
            <w:tcW w:type="dxa" w:w="2160"/>
          </w:tcPr>
          <w:p>
            <w:r>
              <w:t>交收/付款原则上一日内完成</w:t>
            </w:r>
          </w:p>
        </w:tc>
        <w:tc>
          <w:tcPr>
            <w:tcW w:type="dxa" w:w="2160"/>
          </w:tcPr>
          <w:p>
            <w:r>
              <w:t>每笔DVP交易</w:t>
            </w:r>
          </w:p>
        </w:tc>
        <w:tc>
          <w:tcPr>
            <w:tcW w:type="dxa" w:w="2160"/>
          </w:tcPr>
          <w:p>
            <w:r>
              <w:t>C4</w:t>
            </w:r>
          </w:p>
        </w:tc>
      </w:tr>
      <w:tr>
        <w:tc>
          <w:tcPr>
            <w:tcW w:type="dxa" w:w="2160"/>
          </w:tcPr>
          <w:p>
            <w:r>
              <w:t>DVP超期处置</w:t>
            </w:r>
          </w:p>
        </w:tc>
        <w:tc>
          <w:tcPr>
            <w:tcW w:type="dxa" w:w="2160"/>
          </w:tcPr>
          <w:p>
            <w:r>
              <w:t>超过3日未履约需入Client Account</w:t>
            </w:r>
          </w:p>
        </w:tc>
        <w:tc>
          <w:tcPr>
            <w:tcW w:type="dxa" w:w="2160"/>
          </w:tcPr>
          <w:p>
            <w:r>
              <w:t>超期触发</w:t>
            </w:r>
          </w:p>
        </w:tc>
        <w:tc>
          <w:tcPr>
            <w:tcW w:type="dxa" w:w="2160"/>
          </w:tcPr>
          <w:p>
            <w:r>
              <w:t>C5</w:t>
            </w:r>
          </w:p>
        </w:tc>
      </w:tr>
      <w:tr>
        <w:tc>
          <w:tcPr>
            <w:tcW w:type="dxa" w:w="2160"/>
          </w:tcPr>
          <w:p>
            <w:r>
              <w:t>资金与VA对账</w:t>
            </w:r>
          </w:p>
        </w:tc>
        <w:tc>
          <w:tcPr>
            <w:tcW w:type="dxa" w:w="2160"/>
          </w:tcPr>
          <w:p>
            <w:r>
              <w:t>资金和VA对账均需每日执行</w:t>
            </w:r>
          </w:p>
        </w:tc>
        <w:tc>
          <w:tcPr>
            <w:tcW w:type="dxa" w:w="2160"/>
          </w:tcPr>
          <w:p>
            <w:r>
              <w:t>每日</w:t>
            </w:r>
          </w:p>
        </w:tc>
        <w:tc>
          <w:tcPr>
            <w:tcW w:type="dxa" w:w="2160"/>
          </w:tcPr>
          <w:p>
            <w:r>
              <w:t>C6/C7</w:t>
            </w:r>
          </w:p>
        </w:tc>
      </w:tr>
      <w:tr>
        <w:tc>
          <w:tcPr>
            <w:tcW w:type="dxa" w:w="2160"/>
          </w:tcPr>
          <w:p>
            <w:r>
              <w:t>客户报表</w:t>
            </w:r>
          </w:p>
        </w:tc>
        <w:tc>
          <w:tcPr>
            <w:tcW w:type="dxa" w:w="2160"/>
          </w:tcPr>
          <w:p>
            <w:r>
              <w:t>至少每月出具并25天内完成</w:t>
            </w:r>
          </w:p>
        </w:tc>
        <w:tc>
          <w:tcPr>
            <w:tcW w:type="dxa" w:w="2160"/>
          </w:tcPr>
          <w:p>
            <w:r>
              <w:t>每月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重大差异通知</w:t>
            </w:r>
          </w:p>
        </w:tc>
        <w:tc>
          <w:tcPr>
            <w:tcW w:type="dxa" w:w="2160"/>
          </w:tcPr>
          <w:p>
            <w:r>
              <w:t>未修复重大差异需通知VARA</w:t>
            </w:r>
          </w:p>
        </w:tc>
        <w:tc>
          <w:tcPr>
            <w:tcW w:type="dxa" w:w="2160"/>
          </w:tcPr>
          <w:p>
            <w:r>
              <w:t>异常触发时</w:t>
            </w:r>
          </w:p>
        </w:tc>
        <w:tc>
          <w:tcPr>
            <w:tcW w:type="dxa" w:w="2160"/>
          </w:tcPr>
          <w:p>
            <w:r>
              <w:t>C9</w:t>
            </w:r>
          </w:p>
        </w:tc>
      </w:tr>
      <w:tr>
        <w:tc>
          <w:tcPr>
            <w:tcW w:type="dxa" w:w="2160"/>
          </w:tcPr>
          <w:p>
            <w:r>
              <w:t>记录留存</w:t>
            </w:r>
          </w:p>
        </w:tc>
        <w:tc>
          <w:tcPr>
            <w:tcW w:type="dxa" w:w="2160"/>
          </w:tcPr>
          <w:p>
            <w:r>
              <w:t>关键记录不少于8年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交易后是否形成完整清分义务并可回放？</w:t>
      </w:r>
    </w:p>
    <w:p>
      <w:r>
        <w:t>2. DVP场景是否满足1天交收与3天超期处置要求？</w:t>
      </w:r>
    </w:p>
    <w:p>
      <w:r>
        <w:t>3. 资金与VA是否均执行每日对账并保留证据？</w:t>
      </w:r>
    </w:p>
    <w:p>
      <w:r>
        <w:t>4. 重大差异未修复时是否及时通知VARA？</w:t>
      </w:r>
    </w:p>
    <w:p>
      <w:r>
        <w:t>5. 关键记录是否满足 &gt;=8 years 留存要求？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DVP时效超期但未按规则升级处置。</w:t>
      </w:r>
    </w:p>
    <w:p>
      <w:pPr>
        <w:pStyle w:val="ListBullet"/>
      </w:pPr>
      <w:r>
        <w:t>仅做资金对账，缺失VA日对账。</w:t>
      </w:r>
    </w:p>
    <w:p>
      <w:pPr>
        <w:pStyle w:val="ListBullet"/>
      </w:pPr>
      <w:r>
        <w:t>重大差异长期未修复且未通知VARA。</w:t>
      </w:r>
    </w:p>
    <w:p>
      <w:pPr>
        <w:pStyle w:val="ListBullet"/>
      </w:pPr>
      <w:r>
        <w:t>月度客户报表逾期或要素不全。</w:t>
      </w:r>
    </w:p>
    <w:p>
      <w:pPr>
        <w:pStyle w:val="ListBullet"/>
      </w:pPr>
      <w:r>
        <w:t>证据留存不足8年。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