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</w:t>
      </w:r>
    </w:p>
    <w:p>
      <w:r>
        <w:t>CAP-015_Audit_Compliance_Guide_v2</w:t>
      </w:r>
    </w:p>
    <w:p>
      <w:r>
        <w:t>自营交易/做市许可边界控制 — 合规可审计版本</w:t>
      </w:r>
    </w:p>
    <w:p>
      <w:r>
        <w:t>Prepared for: Virtual Assets Regulatory Authority (VARA), Dubai</w:t>
      </w:r>
    </w:p>
    <w:p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CAP-015</w:t>
            </w:r>
          </w:p>
        </w:tc>
      </w:tr>
      <w:tr>
        <w:tc>
          <w:tcPr>
            <w:tcW w:type="dxa" w:w="4320"/>
          </w:tcPr>
          <w:p>
            <w:r>
              <w:t>cap_name</w:t>
            </w:r>
          </w:p>
        </w:tc>
        <w:tc>
          <w:tcPr>
            <w:tcW w:type="dxa" w:w="4320"/>
          </w:tcPr>
          <w:p>
            <w:r>
              <w:t>自营交易/做市许可边界控制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Market Conduct Part VII; Broker-Dealer Part II.B; Company Part II.B/II.C; Compliance &amp; Risk Part 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  <w:tr>
        <w:tc>
          <w:tcPr>
            <w:tcW w:type="dxa" w:w="2880"/>
          </w:tcPr>
          <w:p>
            <w:r>
              <w:t>ControlEvidenceRecord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control_id/evidence_type/created_at/retention_period/owner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CAP-015 自营交易/做市许可边界控制的合规要求。</w:t>
      </w:r>
    </w:p>
    <w:p>
      <w:pPr>
        <w:pStyle w:val="ListBullet"/>
      </w:pPr>
      <w:r>
        <w:t>覆盖“允许的主事交易”与“禁止的自有账户主动投资”边界识别、冲突隔离与报告留痕。</w:t>
      </w:r>
    </w:p>
    <w:p>
      <w:pPr>
        <w:pStyle w:val="ListBullet"/>
      </w:pPr>
      <w:r>
        <w:t>与 CAP-010/014 边界：CAP-015聚焦许可边界与治理门禁，不替代执行质量或结算流程控制。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"VASPs are prohibited from actively investing their own, or their Group's, portfolio"</w:t>
            </w:r>
          </w:p>
        </w:tc>
        <w:tc>
          <w:tcPr>
            <w:tcW w:type="dxa" w:w="2160"/>
          </w:tcPr>
          <w:p>
            <w:r>
              <w:t>MC / Part VII.A.1 / Rule VII.A.1 / p17</w:t>
            </w:r>
          </w:p>
        </w:tc>
        <w:tc>
          <w:tcPr>
            <w:tcW w:type="dxa" w:w="2160"/>
          </w:tcPr>
          <w:p>
            <w:r>
              <w:t>禁止主动开展自有/集团资产投资交易。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"does not prevent ... prudent management of Net Liquid Assets ... treasury ... full records ... eight (8) years"</w:t>
            </w:r>
          </w:p>
        </w:tc>
        <w:tc>
          <w:tcPr>
            <w:tcW w:type="dxa" w:w="2160"/>
          </w:tcPr>
          <w:p>
            <w:r>
              <w:t>MC / Part VII.A.2 / Rule VII.A.2 / p17</w:t>
            </w:r>
          </w:p>
        </w:tc>
        <w:tc>
          <w:tcPr>
            <w:tcW w:type="dxa" w:w="2160"/>
          </w:tcPr>
          <w:p>
            <w:r>
              <w:t>仅在审慎NLA/库务管理例外下可交易，且须保留完整记录8年。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"VARA shall have sole and absolute discretion ... frequency ... volume ... nature of transactions"</w:t>
            </w:r>
          </w:p>
        </w:tc>
        <w:tc>
          <w:tcPr>
            <w:tcW w:type="dxa" w:w="2160"/>
          </w:tcPr>
          <w:p>
            <w:r>
              <w:t>MC / Part VII.A.3 / Rule VII.A.3 / p17</w:t>
            </w:r>
          </w:p>
        </w:tc>
        <w:tc>
          <w:tcPr>
            <w:tcW w:type="dxa" w:w="2160"/>
          </w:tcPr>
          <w:p>
            <w:r>
              <w:t>是否构成主动投资由VARA裁量，需可解释交易特征。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"must comply with the reporting requirements ... in respect of all Entities in their Group"</w:t>
            </w:r>
          </w:p>
        </w:tc>
        <w:tc>
          <w:tcPr>
            <w:tcW w:type="dxa" w:w="2160"/>
          </w:tcPr>
          <w:p>
            <w:r>
              <w:t>MC / Part VII.B.2 / Rule VII.B.2 / p17</w:t>
            </w:r>
          </w:p>
        </w:tc>
        <w:tc>
          <w:tcPr>
            <w:tcW w:type="dxa" w:w="2160"/>
          </w:tcPr>
          <w:p>
            <w:r>
              <w:t>集团层主动投资活动触发监管报送义务。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"permitted to deal as principal ... for the purpose of satisfying client orders ..."</w:t>
            </w:r>
          </w:p>
        </w:tc>
        <w:tc>
          <w:tcPr>
            <w:tcW w:type="dxa" w:w="2160"/>
          </w:tcPr>
          <w:p>
            <w:r>
              <w:t>BD / Part II.B.1 / Rule II.B.1 / p10</w:t>
            </w:r>
          </w:p>
        </w:tc>
        <w:tc>
          <w:tcPr>
            <w:tcW w:type="dxa" w:w="2160"/>
          </w:tcPr>
          <w:p>
            <w:r>
              <w:t>可在满足客户订单等限定目的下进行主事交易。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"it is prohibited ... to use or otherwise deal in Client Money or Client VAs"</w:t>
            </w:r>
          </w:p>
        </w:tc>
        <w:tc>
          <w:tcPr>
            <w:tcW w:type="dxa" w:w="2160"/>
          </w:tcPr>
          <w:p>
            <w:r>
              <w:t>BD / Part II.B.2 / Rule II.B.2 / p10</w:t>
            </w:r>
          </w:p>
        </w:tc>
        <w:tc>
          <w:tcPr>
            <w:tcW w:type="dxa" w:w="2160"/>
          </w:tcPr>
          <w:p>
            <w:r>
              <w:t>主事交易不得挪用客户资金或客户虚拟资产。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"avoid conflicts of interest ... if cannot avoid ... disclosed ... fairly treated"</w:t>
            </w:r>
          </w:p>
        </w:tc>
        <w:tc>
          <w:tcPr>
            <w:tcW w:type="dxa" w:w="2160"/>
          </w:tcPr>
          <w:p>
            <w:r>
              <w:t>CO / Part II.C.1 / Rule II.C.1 / p15</w:t>
            </w:r>
          </w:p>
        </w:tc>
        <w:tc>
          <w:tcPr>
            <w:tcW w:type="dxa" w:w="2160"/>
          </w:tcPr>
          <w:p>
            <w:r>
              <w:t>边界场景必须执行冲突识别、披露与公平对待。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"sales, dealing, accounting, settlement and safekeeping ... effectively segregated"</w:t>
            </w:r>
          </w:p>
        </w:tc>
        <w:tc>
          <w:tcPr>
            <w:tcW w:type="dxa" w:w="2160"/>
          </w:tcPr>
          <w:p>
            <w:r>
              <w:t>CO / Part II.B.2 / Rule II.B.2 / p14</w:t>
            </w:r>
          </w:p>
        </w:tc>
        <w:tc>
          <w:tcPr>
            <w:tcW w:type="dxa" w:w="2160"/>
          </w:tcPr>
          <w:p>
            <w:r>
              <w:t>销售、交易、会计、结算、保管职责须分离。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"keeping proper audit trails of all transactions"</w:t>
            </w:r>
          </w:p>
        </w:tc>
        <w:tc>
          <w:tcPr>
            <w:tcW w:type="dxa" w:w="2160"/>
          </w:tcPr>
          <w:p>
            <w:r>
              <w:t>CR / Part I.F.1(a) / Rule I.F.1(a) / p16</w:t>
            </w:r>
          </w:p>
        </w:tc>
        <w:tc>
          <w:tcPr>
            <w:tcW w:type="dxa" w:w="2160"/>
          </w:tcPr>
          <w:p>
            <w:r>
              <w:t>边界判断和交易动作必须有完整审计轨迹。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CR / Part I.F.2 / Rule I.F.2 / p17</w:t>
            </w:r>
          </w:p>
        </w:tc>
        <w:tc>
          <w:tcPr>
            <w:tcW w:type="dxa" w:w="2160"/>
          </w:tcPr>
          <w:p>
            <w:r>
              <w:t>边界控制相关记录留存不少于8年。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交易目的识别</w:t>
            </w:r>
          </w:p>
        </w:tc>
        <w:tc>
          <w:tcPr>
            <w:tcW w:type="dxa" w:w="1440"/>
          </w:tcPr>
          <w:p>
            <w:r>
              <w:t>主动投资禁止边界识别（C1/C3）</w:t>
            </w:r>
          </w:p>
        </w:tc>
        <w:tc>
          <w:tcPr>
            <w:tcW w:type="dxa" w:w="1440"/>
          </w:tcPr>
          <w:p>
            <w:r>
              <w:t>目的分类准确</w:t>
            </w:r>
          </w:p>
        </w:tc>
        <w:tc>
          <w:tcPr>
            <w:tcW w:type="dxa" w:w="1440"/>
          </w:tcPr>
          <w:p>
            <w:r>
              <w:t>阻断交易</w:t>
            </w:r>
          </w:p>
        </w:tc>
        <w:tc>
          <w:tcPr>
            <w:tcW w:type="dxa" w:w="1440"/>
          </w:tcPr>
          <w:p>
            <w:r>
              <w:t>交易目的评估单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主事交易许可门禁</w:t>
            </w:r>
          </w:p>
        </w:tc>
        <w:tc>
          <w:tcPr>
            <w:tcW w:type="dxa" w:w="1440"/>
          </w:tcPr>
          <w:p>
            <w:r>
              <w:t>仅限允许场景（C5）</w:t>
            </w:r>
          </w:p>
        </w:tc>
        <w:tc>
          <w:tcPr>
            <w:tcW w:type="dxa" w:w="1440"/>
          </w:tcPr>
          <w:p>
            <w:r>
              <w:t>许可条件满足</w:t>
            </w:r>
          </w:p>
        </w:tc>
        <w:tc>
          <w:tcPr>
            <w:tcW w:type="dxa" w:w="1440"/>
          </w:tcPr>
          <w:p>
            <w:r>
              <w:t>退回重审</w:t>
            </w:r>
          </w:p>
        </w:tc>
        <w:tc>
          <w:tcPr>
            <w:tcW w:type="dxa" w:w="1440"/>
          </w:tcPr>
          <w:p>
            <w:r>
              <w:t>许可门禁记录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客户资产保护校验</w:t>
            </w:r>
          </w:p>
        </w:tc>
        <w:tc>
          <w:tcPr>
            <w:tcW w:type="dxa" w:w="1440"/>
          </w:tcPr>
          <w:p>
            <w:r>
              <w:t>禁止使用Client Money/Client VAs（C6）</w:t>
            </w:r>
          </w:p>
        </w:tc>
        <w:tc>
          <w:tcPr>
            <w:tcW w:type="dxa" w:w="1440"/>
          </w:tcPr>
          <w:p>
            <w:r>
              <w:t>资金来源合规</w:t>
            </w:r>
          </w:p>
        </w:tc>
        <w:tc>
          <w:tcPr>
            <w:tcW w:type="dxa" w:w="1440"/>
          </w:tcPr>
          <w:p>
            <w:r>
              <w:t>立即停止并调查</w:t>
            </w:r>
          </w:p>
        </w:tc>
        <w:tc>
          <w:tcPr>
            <w:tcW w:type="dxa" w:w="1440"/>
          </w:tcPr>
          <w:p>
            <w:r>
              <w:t>资金来源核验记录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冲突与职责分离校验</w:t>
            </w:r>
          </w:p>
        </w:tc>
        <w:tc>
          <w:tcPr>
            <w:tcW w:type="dxa" w:w="1440"/>
          </w:tcPr>
          <w:p>
            <w:r>
              <w:t>冲突管理+职责分离（C7/C8）</w:t>
            </w:r>
          </w:p>
        </w:tc>
        <w:tc>
          <w:tcPr>
            <w:tcW w:type="dxa" w:w="1440"/>
          </w:tcPr>
          <w:p>
            <w:r>
              <w:t>无未缓释冲突</w:t>
            </w:r>
          </w:p>
        </w:tc>
        <w:tc>
          <w:tcPr>
            <w:tcW w:type="dxa" w:w="1440"/>
          </w:tcPr>
          <w:p>
            <w:r>
              <w:t>升级委员会/董事会</w:t>
            </w:r>
          </w:p>
        </w:tc>
        <w:tc>
          <w:tcPr>
            <w:tcW w:type="dxa" w:w="1440"/>
          </w:tcPr>
          <w:p>
            <w:r>
              <w:t>冲突评估与隔离记录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集团报送义务识别</w:t>
            </w:r>
          </w:p>
        </w:tc>
        <w:tc>
          <w:tcPr>
            <w:tcW w:type="dxa" w:w="1440"/>
          </w:tcPr>
          <w:p>
            <w:r>
              <w:t>集团主动投资报告（C4）</w:t>
            </w:r>
          </w:p>
        </w:tc>
        <w:tc>
          <w:tcPr>
            <w:tcW w:type="dxa" w:w="1440"/>
          </w:tcPr>
          <w:p>
            <w:r>
              <w:t>报告及时准确</w:t>
            </w:r>
          </w:p>
        </w:tc>
        <w:tc>
          <w:tcPr>
            <w:tcW w:type="dxa" w:w="1440"/>
          </w:tcPr>
          <w:p>
            <w:r>
              <w:t>补报并纠偏</w:t>
            </w:r>
          </w:p>
        </w:tc>
        <w:tc>
          <w:tcPr>
            <w:tcW w:type="dxa" w:w="1440"/>
          </w:tcPr>
          <w:p>
            <w:r>
              <w:t>报送记录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归档与审计</w:t>
            </w:r>
          </w:p>
        </w:tc>
        <w:tc>
          <w:tcPr>
            <w:tcW w:type="dxa" w:w="1440"/>
          </w:tcPr>
          <w:p>
            <w:r>
              <w:t>审计轨迹+8年留存（C9/C10）</w:t>
            </w:r>
          </w:p>
        </w:tc>
        <w:tc>
          <w:tcPr>
            <w:tcW w:type="dxa" w:w="1440"/>
          </w:tcPr>
          <w:p>
            <w:r>
              <w:t>可抽检导出</w:t>
            </w:r>
          </w:p>
        </w:tc>
        <w:tc>
          <w:tcPr>
            <w:tcW w:type="dxa" w:w="1440"/>
          </w:tcPr>
          <w:p>
            <w:r>
              <w:t>整改闭环</w:t>
            </w:r>
          </w:p>
        </w:tc>
        <w:tc>
          <w:tcPr>
            <w:tcW w:type="dxa" w:w="1440"/>
          </w:tcPr>
          <w:p>
            <w:r>
              <w:t>归档台账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t>F-AUD-015-001 — 主事交易许可门禁流程</w:t>
      </w:r>
    </w:p>
    <w:p>
      <w:r>
        <w:t>requirement_refs: C1/C5/C6</w:t>
      </w:r>
    </w:p>
    <w:p>
      <w:r>
        <w:t>ASCII 流程图：</w:t>
      </w:r>
    </w:p>
    <w:p>
      <w:r>
        <w:t>[Proposed Trade] -&gt; [Identify Trade Purpose]</w:t>
        <w:br/>
        <w:t xml:space="preserve"> -&gt; {Client Order Facilitation?}</w:t>
        <w:br/>
        <w:t xml:space="preserve">    Yes -&gt; [Apply Principal Dealing Conditions]</w:t>
        <w:br/>
        <w:t xml:space="preserve">    No -&gt; [Check Treasury/NLA Exception]</w:t>
        <w:br/>
        <w:t xml:space="preserve"> -&gt; {Permitted?}</w:t>
        <w:br/>
        <w:t xml:space="preserve">    No -&gt; [Block Trade + Escalate]</w:t>
        <w:br/>
        <w:t xml:space="preserve">    Yes -&gt; [Approve with Controls]</w:t>
        <w:br/>
        <w:t xml:space="preserve"> -&gt; [Log Decision] -&gt; [End]</w:t>
      </w:r>
    </w:p>
    <w:p>
      <w:r>
        <w:t>Mermaid 代码：</w:t>
      </w:r>
    </w:p>
    <w:p>
      <w:r>
        <w:t>```mermaid</w:t>
        <w:br/>
        <w:t>flowchart TD</w:t>
        <w:br/>
        <w:t>A[Proposed Trade] --&gt; B[Identify Trade Purpose]</w:t>
        <w:br/>
        <w:t>B --&gt; C{Client Order Facilitation?}</w:t>
        <w:br/>
        <w:t>C -- Yes --&gt; D[Apply Principal Dealing Conditions]</w:t>
        <w:br/>
        <w:t>C -- No --&gt; E[Check Treasury or NLA Exception]</w:t>
        <w:br/>
        <w:t>D --&gt; F{Permitted?}</w:t>
        <w:br/>
        <w:t>E --&gt; F</w:t>
        <w:br/>
        <w:t>F -- No --&gt; G[Block Trade and Escalate]</w:t>
        <w:br/>
        <w:t>F -- Yes --&gt; H[Approve with Controls]</w:t>
        <w:br/>
        <w:t>G --&gt; I[Log Decision]</w:t>
        <w:br/>
        <w:t>H --&gt; I</w:t>
        <w:br/>
        <w:t>I --&gt; Z[End]</w:t>
        <w:br/>
        <w:t>```</w:t>
      </w:r>
    </w:p>
    <w:p>
      <w:r>
        <w:t>F-AUD-015-002 — 自有账户禁止与例外控制流程</w:t>
      </w:r>
    </w:p>
    <w:p>
      <w:r>
        <w:t>requirement_refs: C1/C2/C3</w:t>
      </w:r>
    </w:p>
    <w:p>
      <w:r>
        <w:t>ASCII 流程图：</w:t>
      </w:r>
    </w:p>
    <w:p>
      <w:r>
        <w:t>[Own-Account Activity Detected] -&gt; [Assess Against Prohibition]</w:t>
        <w:br/>
        <w:t xml:space="preserve"> -&gt; {Prudent NLA/Treasury Exception?}</w:t>
        <w:br/>
        <w:t xml:space="preserve">    No -&gt; [Prohibit and Internal Report]</w:t>
        <w:br/>
        <w:t xml:space="preserve">    Yes -&gt; [Validate Rationale + Limits]</w:t>
        <w:br/>
        <w:t xml:space="preserve"> -&gt; [Record Full Transaction Details]</w:t>
        <w:br/>
        <w:t xml:space="preserve"> -&gt; [Retention Tag &gt;=8 years] -&gt; [End]</w:t>
      </w:r>
    </w:p>
    <w:p>
      <w:r>
        <w:t>Mermaid 代码：</w:t>
      </w:r>
    </w:p>
    <w:p>
      <w:r>
        <w:t>```mermaid</w:t>
        <w:br/>
        <w:t>flowchart TD</w:t>
        <w:br/>
        <w:t>A[Own-Account Activity Detected] --&gt; B[Assess Against Prohibition]</w:t>
        <w:br/>
        <w:t>B --&gt; C{Prudent NLA or Treasury Exception?}</w:t>
        <w:br/>
        <w:t>C -- No --&gt; D[Prohibit and Internal Report]</w:t>
        <w:br/>
        <w:t>C -- Yes --&gt; E[Validate Rationale and Limits]</w:t>
        <w:br/>
        <w:t>D --&gt; F[Record Full Transaction Details]</w:t>
        <w:br/>
        <w:t>E --&gt; F</w:t>
        <w:br/>
        <w:t>F --&gt; G[Retention Tag gte 8 years]</w:t>
        <w:br/>
        <w:t>G --&gt; Z[End]</w:t>
        <w:br/>
        <w:t>```</w:t>
      </w:r>
    </w:p>
    <w:p>
      <w:r>
        <w:t>F-AUD-015-003 — 冲突隔离与集团报送流程</w:t>
      </w:r>
    </w:p>
    <w:p>
      <w:r>
        <w:t>requirement_refs: C4/C7/C8/C9</w:t>
      </w:r>
    </w:p>
    <w:p>
      <w:r>
        <w:t>ASCII 流程图：</w:t>
      </w:r>
    </w:p>
    <w:p>
      <w:r>
        <w:t>[Approved Principal Action] -&gt; [Run Conflict of Interest Check]</w:t>
        <w:br/>
        <w:t xml:space="preserve"> -&gt; [Verify Duty Segregation]</w:t>
        <w:br/>
        <w:t xml:space="preserve"> -&gt; {Group Entity Active Investing?}</w:t>
        <w:br/>
        <w:t xml:space="preserve">    No -&gt; [Close Internal Review]</w:t>
        <w:br/>
        <w:t xml:space="preserve">    Yes -&gt; [Prepare Regulatory Reporting]</w:t>
        <w:br/>
        <w:t xml:space="preserve"> -&gt; [Board/Compliance Review]</w:t>
        <w:br/>
        <w:t xml:space="preserve"> -&gt; [Archive Audit Trail] -&gt; [End]</w:t>
      </w:r>
    </w:p>
    <w:p>
      <w:r>
        <w:t>Mermaid 代码：</w:t>
      </w:r>
    </w:p>
    <w:p>
      <w:r>
        <w:t>```mermaid</w:t>
        <w:br/>
        <w:t>flowchart TD</w:t>
        <w:br/>
        <w:t>A[Approved Principal Action] --&gt; B[Run Conflict of Interest Check]</w:t>
        <w:br/>
        <w:t>B --&gt; C[Verify Duty Segregation]</w:t>
        <w:br/>
        <w:t>C --&gt; D{Group Entity Active Investing?}</w:t>
        <w:br/>
        <w:t>D -- No --&gt; E[Close Internal Review]</w:t>
        <w:br/>
        <w:t>D -- Yes --&gt; F[Prepare Regulatory Reporting]</w:t>
        <w:br/>
        <w:t>E --&gt; G[Board and Compliance Review]</w:t>
        <w:br/>
        <w:t>F --&gt; G</w:t>
        <w:br/>
        <w:t>G --&gt; H[Archive Audit Trail]</w:t>
        <w:br/>
        <w:t>H --&gt; Z[End]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MLRO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边界政策审批与更新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交易目的识别与门禁执行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客户资产保护校验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冲突与职责分离评估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集团层报告义务执行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抽检与整改闭环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交易目的评估记录</w:t>
            </w:r>
          </w:p>
        </w:tc>
        <w:tc>
          <w:tcPr>
            <w:tcW w:type="dxa" w:w="1728"/>
          </w:tcPr>
          <w:p>
            <w:r>
              <w:t>交易目的、适用规则、审批结果</w:t>
            </w:r>
          </w:p>
        </w:tc>
        <w:tc>
          <w:tcPr>
            <w:tcW w:type="dxa" w:w="1728"/>
          </w:tcPr>
          <w:p>
            <w:r>
              <w:t>每笔边界交易前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C1/C3/C10</w:t>
            </w:r>
          </w:p>
        </w:tc>
      </w:tr>
      <w:tr>
        <w:tc>
          <w:tcPr>
            <w:tcW w:type="dxa" w:w="1728"/>
          </w:tcPr>
          <w:p>
            <w:r>
              <w:t>主事交易许可记录</w:t>
            </w:r>
          </w:p>
        </w:tc>
        <w:tc>
          <w:tcPr>
            <w:tcW w:type="dxa" w:w="1728"/>
          </w:tcPr>
          <w:p>
            <w:r>
              <w:t>客户订单关联、允许依据、控制条件</w:t>
            </w:r>
          </w:p>
        </w:tc>
        <w:tc>
          <w:tcPr>
            <w:tcW w:type="dxa" w:w="1728"/>
          </w:tcPr>
          <w:p>
            <w:r>
              <w:t>每笔许可交易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C5/C10</w:t>
            </w:r>
          </w:p>
        </w:tc>
      </w:tr>
      <w:tr>
        <w:tc>
          <w:tcPr>
            <w:tcW w:type="dxa" w:w="1728"/>
          </w:tcPr>
          <w:p>
            <w:r>
              <w:t>客户资产保护证据</w:t>
            </w:r>
          </w:p>
        </w:tc>
        <w:tc>
          <w:tcPr>
            <w:tcW w:type="dxa" w:w="1728"/>
          </w:tcPr>
          <w:p>
            <w:r>
              <w:t>资金来源、钱包来源、隔离校验</w:t>
            </w:r>
          </w:p>
        </w:tc>
        <w:tc>
          <w:tcPr>
            <w:tcW w:type="dxa" w:w="1728"/>
          </w:tcPr>
          <w:p>
            <w:r>
              <w:t>每笔交易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C6/C10</w:t>
            </w:r>
          </w:p>
        </w:tc>
      </w:tr>
      <w:tr>
        <w:tc>
          <w:tcPr>
            <w:tcW w:type="dxa" w:w="1728"/>
          </w:tcPr>
          <w:p>
            <w:r>
              <w:t>冲突与隔离记录</w:t>
            </w:r>
          </w:p>
        </w:tc>
        <w:tc>
          <w:tcPr>
            <w:tcW w:type="dxa" w:w="1728"/>
          </w:tcPr>
          <w:p>
            <w:r>
              <w:t>冲突识别、信息隔离、职责分离检查</w:t>
            </w:r>
          </w:p>
        </w:tc>
        <w:tc>
          <w:tcPr>
            <w:tcW w:type="dxa" w:w="1728"/>
          </w:tcPr>
          <w:p>
            <w:r>
              <w:t>每次评估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C7/C8/C10</w:t>
            </w:r>
          </w:p>
        </w:tc>
      </w:tr>
      <w:tr>
        <w:tc>
          <w:tcPr>
            <w:tcW w:type="dxa" w:w="1728"/>
          </w:tcPr>
          <w:p>
            <w:r>
              <w:t>集团报送记录</w:t>
            </w:r>
          </w:p>
        </w:tc>
        <w:tc>
          <w:tcPr>
            <w:tcW w:type="dxa" w:w="1728"/>
          </w:tcPr>
          <w:p>
            <w:r>
              <w:t>报送对象、内容、时间、反馈</w:t>
            </w:r>
          </w:p>
        </w:tc>
        <w:tc>
          <w:tcPr>
            <w:tcW w:type="dxa" w:w="1728"/>
          </w:tcPr>
          <w:p>
            <w:r>
              <w:t>每次触发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C4/C10</w:t>
            </w:r>
          </w:p>
        </w:tc>
      </w:tr>
      <w:tr>
        <w:tc>
          <w:tcPr>
            <w:tcW w:type="dxa" w:w="1728"/>
          </w:tcPr>
          <w:p>
            <w:r>
              <w:t>审计导出记录</w:t>
            </w:r>
          </w:p>
        </w:tc>
        <w:tc>
          <w:tcPr>
            <w:tcW w:type="dxa" w:w="1728"/>
          </w:tcPr>
          <w:p>
            <w:r>
              <w:t>导出范围、导出人、导出时间</w:t>
            </w:r>
          </w:p>
        </w:tc>
        <w:tc>
          <w:tcPr>
            <w:tcW w:type="dxa" w:w="1728"/>
          </w:tcPr>
          <w:p>
            <w:r>
              <w:t>监管抽检时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边界判定门禁</w:t>
            </w:r>
          </w:p>
        </w:tc>
        <w:tc>
          <w:tcPr>
            <w:tcW w:type="dxa" w:w="2160"/>
          </w:tcPr>
          <w:p>
            <w:r>
              <w:t>交易前必须完成目的识别</w:t>
            </w:r>
          </w:p>
        </w:tc>
        <w:tc>
          <w:tcPr>
            <w:tcW w:type="dxa" w:w="2160"/>
          </w:tcPr>
          <w:p>
            <w:r>
              <w:t>每笔边界交易前</w:t>
            </w:r>
          </w:p>
        </w:tc>
        <w:tc>
          <w:tcPr>
            <w:tcW w:type="dxa" w:w="2160"/>
          </w:tcPr>
          <w:p>
            <w:r>
              <w:t>C1/C5</w:t>
            </w:r>
          </w:p>
        </w:tc>
      </w:tr>
      <w:tr>
        <w:tc>
          <w:tcPr>
            <w:tcW w:type="dxa" w:w="2160"/>
          </w:tcPr>
          <w:p>
            <w:r>
              <w:t>禁止场景阻断</w:t>
            </w:r>
          </w:p>
        </w:tc>
        <w:tc>
          <w:tcPr>
            <w:tcW w:type="dxa" w:w="2160"/>
          </w:tcPr>
          <w:p>
            <w:r>
              <w:t>非例外自有账户交易必须阻断</w:t>
            </w:r>
          </w:p>
        </w:tc>
        <w:tc>
          <w:tcPr>
            <w:tcW w:type="dxa" w:w="2160"/>
          </w:tcPr>
          <w:p>
            <w:r>
              <w:t>每次触发</w:t>
            </w:r>
          </w:p>
        </w:tc>
        <w:tc>
          <w:tcPr>
            <w:tcW w:type="dxa" w:w="2160"/>
          </w:tcPr>
          <w:p>
            <w:r>
              <w:t>C1/C3</w:t>
            </w:r>
          </w:p>
        </w:tc>
      </w:tr>
      <w:tr>
        <w:tc>
          <w:tcPr>
            <w:tcW w:type="dxa" w:w="2160"/>
          </w:tcPr>
          <w:p>
            <w:r>
              <w:t>冲突与职责分离检查</w:t>
            </w:r>
          </w:p>
        </w:tc>
        <w:tc>
          <w:tcPr>
            <w:tcW w:type="dxa" w:w="2160"/>
          </w:tcPr>
          <w:p>
            <w:r>
              <w:t>边界交易前完成冲突与SoD检查</w:t>
            </w:r>
          </w:p>
        </w:tc>
        <w:tc>
          <w:tcPr>
            <w:tcW w:type="dxa" w:w="2160"/>
          </w:tcPr>
          <w:p>
            <w:r>
              <w:t>每次触发</w:t>
            </w:r>
          </w:p>
        </w:tc>
        <w:tc>
          <w:tcPr>
            <w:tcW w:type="dxa" w:w="2160"/>
          </w:tcPr>
          <w:p>
            <w:r>
              <w:t>C7/C8</w:t>
            </w:r>
          </w:p>
        </w:tc>
      </w:tr>
      <w:tr>
        <w:tc>
          <w:tcPr>
            <w:tcW w:type="dxa" w:w="2160"/>
          </w:tcPr>
          <w:p>
            <w:r>
              <w:t>集团报送义务</w:t>
            </w:r>
          </w:p>
        </w:tc>
        <w:tc>
          <w:tcPr>
            <w:tcW w:type="dxa" w:w="2160"/>
          </w:tcPr>
          <w:p>
            <w:r>
              <w:t>集团主动投资场景触发报告</w:t>
            </w:r>
          </w:p>
        </w:tc>
        <w:tc>
          <w:tcPr>
            <w:tcW w:type="dxa" w:w="2160"/>
          </w:tcPr>
          <w:p>
            <w:r>
              <w:t>触发时</w:t>
            </w:r>
          </w:p>
        </w:tc>
        <w:tc>
          <w:tcPr>
            <w:tcW w:type="dxa" w:w="2160"/>
          </w:tcPr>
          <w:p>
            <w:r>
              <w:t>C4</w:t>
            </w:r>
          </w:p>
        </w:tc>
      </w:tr>
      <w:tr>
        <w:tc>
          <w:tcPr>
            <w:tcW w:type="dxa" w:w="2160"/>
          </w:tcPr>
          <w:p>
            <w:r>
              <w:t>记录留存</w:t>
            </w:r>
          </w:p>
        </w:tc>
        <w:tc>
          <w:tcPr>
            <w:tcW w:type="dxa" w:w="2160"/>
          </w:tcPr>
          <w:p>
            <w:r>
              <w:t>关键记录不少于8年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C2/C10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是否能清晰区分“客户订单主事交易”与“禁止的主动自营投资”？</w:t>
      </w:r>
    </w:p>
    <w:p>
      <w:r>
        <w:t>2. 主事交易是否全部完成客户资产来源与隔离校验？</w:t>
      </w:r>
    </w:p>
    <w:p>
      <w:r>
        <w:t>3. 冲突识别、信息隔离与职责分离是否形成证据闭环？</w:t>
      </w:r>
    </w:p>
    <w:p>
      <w:r>
        <w:t>4. 集团层主动投资场景是否按要求完成报告？</w:t>
      </w:r>
    </w:p>
    <w:p>
      <w:r>
        <w:t>5. 关键记录是否满足 &gt;=8 years 留存要求？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将主动自营投资误判为允许场景。</w:t>
      </w:r>
    </w:p>
    <w:p>
      <w:pPr>
        <w:pStyle w:val="ListBullet"/>
      </w:pPr>
      <w:r>
        <w:t>主事交易中出现客户资产被不当使用。</w:t>
      </w:r>
    </w:p>
    <w:p>
      <w:pPr>
        <w:pStyle w:val="ListBullet"/>
      </w:pPr>
      <w:r>
        <w:t>冲突识别流于形式，缺少缓释与留痕。</w:t>
      </w:r>
    </w:p>
    <w:p>
      <w:pPr>
        <w:pStyle w:val="ListBullet"/>
      </w:pPr>
      <w:r>
        <w:t>集团主动投资相关报送遗漏或延迟。</w:t>
      </w:r>
    </w:p>
    <w:p>
      <w:pPr>
        <w:pStyle w:val="ListBullet"/>
      </w:pPr>
      <w:r>
        <w:t>边界控制记录留存不足8年。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