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CAP-017_Audit_Compliance_Guide_v2</w:t>
      </w:r>
    </w:p>
    <w:p>
      <w:pPr>
        <w:jc w:val="center"/>
      </w:pPr>
      <w:r>
        <w:t>第三方银行准入与确认函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CAP-017</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IV.C; Compliance &amp; Risk Part IV.B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CAP-017（第三方银行准入与确认函）在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may only maintain Client Accounts at Third -Party Banks appropriately and validly authorised to accept or take deposits in accordance with applicable laws and regulatory requirements in the relevant jurisdiction and which must not be in the same Group..."</w:t>
            </w:r>
          </w:p>
        </w:tc>
        <w:tc>
          <w:tcPr>
            <w:tcW w:type="dxa" w:w="2160"/>
          </w:tcPr>
          <w:p>
            <w:r>
              <w:t>Compliance &amp; Risk / Part IV.C.1 / Rule IV.C.1 / p40</w:t>
            </w:r>
          </w:p>
        </w:tc>
        <w:tc>
          <w:tcPr>
            <w:tcW w:type="dxa" w:w="2160"/>
          </w:tcPr>
          <w:p>
            <w:r>
              <w:t>第三方银行准入与确认函：禁止事项（见英文原文）。</w:t>
            </w:r>
          </w:p>
        </w:tc>
      </w:tr>
      <w:tr>
        <w:tc>
          <w:tcPr>
            <w:tcW w:type="dxa" w:w="2160"/>
          </w:tcPr>
          <w:p>
            <w:r>
              <w:t>C2</w:t>
            </w:r>
          </w:p>
        </w:tc>
        <w:tc>
          <w:tcPr>
            <w:tcW w:type="dxa" w:w="2160"/>
          </w:tcPr>
          <w:p>
            <w:r>
              <w:t>"When a VASP opens a Client Account with a Third-Party Bank, it must promptly obtain a written acknowledgement from the Third-Party Bank stating that— a. all money standing to the credit of the account is held by the VASP as agent and that the Third-Party Bank..."</w:t>
            </w:r>
          </w:p>
        </w:tc>
        <w:tc>
          <w:tcPr>
            <w:tcW w:type="dxa" w:w="2160"/>
          </w:tcPr>
          <w:p>
            <w:r>
              <w:t>Compliance &amp; Risk / Part IV.C.3 / Rule IV.C.3 / p40</w:t>
            </w:r>
          </w:p>
        </w:tc>
        <w:tc>
          <w:tcPr>
            <w:tcW w:type="dxa" w:w="2160"/>
          </w:tcPr>
          <w:p>
            <w:r>
              <w:t>第三方银行准入与确认函：控制要求（见英文原文）。</w:t>
            </w:r>
          </w:p>
        </w:tc>
      </w:tr>
      <w:tr>
        <w:tc>
          <w:tcPr>
            <w:tcW w:type="dxa" w:w="2160"/>
          </w:tcPr>
          <w:p>
            <w:r>
              <w:t>C3</w:t>
            </w:r>
          </w:p>
        </w:tc>
        <w:tc>
          <w:tcPr>
            <w:tcW w:type="dxa" w:w="2160"/>
          </w:tcPr>
          <w:p>
            <w:r>
              <w:t>"all money standing to the credit of the account is held by the VASP as agent and that the Third-Party Bank is not entitled to combine the account with any other account or"</w:t>
            </w:r>
          </w:p>
        </w:tc>
        <w:tc>
          <w:tcPr>
            <w:tcW w:type="dxa" w:w="2160"/>
          </w:tcPr>
          <w:p>
            <w:r>
              <w:t>Compliance &amp; Risk / Part IV.C.3(a) / Rule IV.C.3(a) / p40</w:t>
            </w:r>
          </w:p>
        </w:tc>
        <w:tc>
          <w:tcPr>
            <w:tcW w:type="dxa" w:w="2160"/>
          </w:tcPr>
          <w:p>
            <w:r>
              <w:t>第三方银行准入与确认函：控制要求（见英文原文）。</w:t>
            </w:r>
          </w:p>
        </w:tc>
      </w:tr>
      <w:tr>
        <w:tc>
          <w:tcPr>
            <w:tcW w:type="dxa" w:w="2160"/>
          </w:tcPr>
          <w:p>
            <w:r>
              <w:t>C4</w:t>
            </w:r>
          </w:p>
        </w:tc>
        <w:tc>
          <w:tcPr>
            <w:tcW w:type="dxa" w:w="2160"/>
          </w:tcPr>
          <w:p>
            <w:r>
              <w:t>"the VASP must continue to comply with all other provisions of this Part IV Client Money Rules of the Compliance and Risk Management Rulebook, at all times."</w:t>
            </w:r>
          </w:p>
        </w:tc>
        <w:tc>
          <w:tcPr>
            <w:tcW w:type="dxa" w:w="2160"/>
          </w:tcPr>
          <w:p>
            <w:r>
              <w:t>Compliance &amp; Risk / Part IV.C.3(b) / Rule IV.C.3(b) / p40</w:t>
            </w:r>
          </w:p>
        </w:tc>
        <w:tc>
          <w:tcPr>
            <w:tcW w:type="dxa" w:w="2160"/>
          </w:tcPr>
          <w:p>
            <w:r>
              <w:t>第三方银行准入与确认函：控制要求（见英文原文）。</w:t>
            </w:r>
          </w:p>
        </w:tc>
      </w:tr>
      <w:tr>
        <w:tc>
          <w:tcPr>
            <w:tcW w:type="dxa" w:w="2160"/>
          </w:tcPr>
          <w:p>
            <w:r>
              <w:t>C5</w:t>
            </w:r>
          </w:p>
        </w:tc>
        <w:tc>
          <w:tcPr>
            <w:tcW w:type="dxa" w:w="2160"/>
          </w:tcPr>
          <w:p>
            <w:r>
              <w:t>"If the Third -Party Bank does not promptly provide the acknowledgement referred to in Rule IV.C.3 of this Compliance and Risk Management Rulebook , the VASP must refrain from making further deposits of Client Money with that Third -Party Bank and withdraw any..."</w:t>
            </w:r>
          </w:p>
        </w:tc>
        <w:tc>
          <w:tcPr>
            <w:tcW w:type="dxa" w:w="2160"/>
          </w:tcPr>
          <w:p>
            <w:r>
              <w:t>Compliance &amp; Risk / Part IV.C.4 / Rule IV.C.4 / p41</w:t>
            </w:r>
          </w:p>
        </w:tc>
        <w:tc>
          <w:tcPr>
            <w:tcW w:type="dxa" w:w="2160"/>
          </w:tcPr>
          <w:p>
            <w:r>
              <w:t>第三方银行准入与确认函：控制要求（见英文原文）。</w:t>
            </w:r>
          </w:p>
        </w:tc>
      </w:tr>
      <w:tr>
        <w:tc>
          <w:tcPr>
            <w:tcW w:type="dxa" w:w="2160"/>
          </w:tcPr>
          <w:p>
            <w:r>
              <w:t>C6</w:t>
            </w:r>
          </w:p>
        </w:tc>
        <w:tc>
          <w:tcPr>
            <w:tcW w:type="dxa" w:w="2160"/>
          </w:tcPr>
          <w:p>
            <w:r>
              <w:t>"Client Money held or controlled on behalf of clients in the UAE is paid into Client Accounts maintained with Third-Party Banks in the UAE; and"</w:t>
            </w:r>
          </w:p>
        </w:tc>
        <w:tc>
          <w:tcPr>
            <w:tcW w:type="dxa" w:w="2160"/>
          </w:tcPr>
          <w:p>
            <w:r>
              <w:t>Compliance &amp; Risk / Part IV.B.5(b) / Rule IV.B.5(b) / p38</w:t>
            </w:r>
          </w:p>
        </w:tc>
        <w:tc>
          <w:tcPr>
            <w:tcW w:type="dxa" w:w="2160"/>
          </w:tcPr>
          <w:p>
            <w:r>
              <w:t>第三方银行准入与确认函：控制要求（见英文原文）。</w:t>
            </w:r>
          </w:p>
        </w:tc>
      </w:tr>
      <w:tr>
        <w:tc>
          <w:tcPr>
            <w:tcW w:type="dxa" w:w="2160"/>
          </w:tcPr>
          <w:p>
            <w:r>
              <w:t>C7</w:t>
            </w:r>
          </w:p>
        </w:tc>
        <w:tc>
          <w:tcPr>
            <w:tcW w:type="dxa" w:w="2160"/>
          </w:tcPr>
          <w:p>
            <w:r>
              <w:t>"Client Money held or controlled on behalf of clients outside of the UAE may be deposited into Client Accounts with Third-Party Banks outside of the UAE but must be moved to, and maintained with, Third-Party Banks in the UAE, and VASPs must initiate such moves..."</w:t>
            </w:r>
          </w:p>
        </w:tc>
        <w:tc>
          <w:tcPr>
            <w:tcW w:type="dxa" w:w="2160"/>
          </w:tcPr>
          <w:p>
            <w:r>
              <w:t>Compliance &amp; Risk / Part IV.B.5(c) / Rule IV.B.5(c) / p38</w:t>
            </w:r>
          </w:p>
        </w:tc>
        <w:tc>
          <w:tcPr>
            <w:tcW w:type="dxa" w:w="2160"/>
          </w:tcPr>
          <w:p>
            <w:r>
              <w:t>第三方银行准入与确认函：控制要求（见英文原文）。</w:t>
            </w:r>
          </w:p>
        </w:tc>
      </w:tr>
      <w:tr>
        <w:tc>
          <w:tcPr>
            <w:tcW w:type="dxa" w:w="2160"/>
          </w:tcPr>
          <w:p>
            <w:r>
              <w:t>C8</w:t>
            </w:r>
          </w:p>
        </w:tc>
        <w:tc>
          <w:tcPr>
            <w:tcW w:type="dxa" w:w="2160"/>
          </w:tcPr>
          <w:p>
            <w:r>
              <w:t>"VASPs may only pass, or permit to be passed, Client Money to a Third-Party Bank if—"</w:t>
            </w:r>
          </w:p>
        </w:tc>
        <w:tc>
          <w:tcPr>
            <w:tcW w:type="dxa" w:w="2160"/>
          </w:tcPr>
          <w:p>
            <w:r>
              <w:t>Compliance &amp; Risk / Part IV.C.2(a) / Rule IV.C.2(a) / p40</w:t>
            </w:r>
          </w:p>
        </w:tc>
        <w:tc>
          <w:tcPr>
            <w:tcW w:type="dxa" w:w="2160"/>
          </w:tcPr>
          <w:p>
            <w:r>
              <w:t>第三方银行准入与确认函：控制要求（见英文原文）。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第三方银行准入与确认函：相关活动必须形成可审计记录。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第三方银行准入与确认函：相关证据与记录至少保留八(8)年。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第三方银行准入与确认函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第三方银行准入与确认函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第三方银行准入与确认函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第三方银行准入与确认函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第三方银行准入与确认函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F-AUD-017-001 — 第三方银行准入与确认函 主流程</w:t>
      </w:r>
    </w:p>
    <w:p>
      <w:r>
        <w:t>requirement_refs: C1/C2/C3/C4</w:t>
      </w:r>
    </w:p>
    <w:p>
      <w:r>
        <w:t>ASCII 流程图：</w:t>
      </w:r>
    </w:p>
    <w:p>
      <w:r>
        <w:t>[Start] -&gt; [Policy Approved] -&gt; [Execute 第三方银行准入与确认函]</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F-AUD-017-002 — 第三方银行准入与确认函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F-AUD-017-003 — 第三方银行准入与确认函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第三方银行准入与确认函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第三方银行准入与确认函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第三方银行准入与确认函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第三方银行准入与确认函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第三方银行准入与确认函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第三方银行准入与确认函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第三方银行准入与确认函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