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CAP-018_Audit_Compliance_Guide_v2</w:t>
      </w:r>
    </w:p>
    <w:p>
      <w:pPr>
        <w:jc w:val="center"/>
      </w:pPr>
      <w:r>
        <w:t>Client VA 隔离钱包与 1:1 持有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CAP-018</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V.B; Compliance &amp; Risk Part V.D</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CAP-018（Client VA 隔离钱包与 1:1 持有）在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must have in place the necessary policies, systems and controls, appropriate to the nature and scale of their operations, to ensure compliance with this Part V of the Compliance and Risk Management Rulebook."</w:t>
            </w:r>
          </w:p>
        </w:tc>
        <w:tc>
          <w:tcPr>
            <w:tcW w:type="dxa" w:w="2160"/>
          </w:tcPr>
          <w:p>
            <w:r>
              <w:t>Compliance &amp; Risk / Part V.B.1 / Rule V.B.1 / p44</w:t>
            </w:r>
          </w:p>
        </w:tc>
        <w:tc>
          <w:tcPr>
            <w:tcW w:type="dxa" w:w="2160"/>
          </w:tcPr>
          <w:p>
            <w:r>
              <w:t>Client VA 隔离钱包与 1:1 持有：控制要求（见英文原文）。</w:t>
            </w:r>
          </w:p>
        </w:tc>
      </w:tr>
      <w:tr>
        <w:tc>
          <w:tcPr>
            <w:tcW w:type="dxa" w:w="2160"/>
          </w:tcPr>
          <w:p>
            <w:r>
              <w:t>C2</w:t>
            </w:r>
          </w:p>
        </w:tc>
        <w:tc>
          <w:tcPr>
            <w:tcW w:type="dxa" w:w="2160"/>
          </w:tcPr>
          <w:p>
            <w:r>
              <w:t>"Client VAs are not depository liabilities or assets of the VASP. Client VAs are not owned by the VASP and shall not form part of the VASP’s estate in the event that the VASP is or becomes Insolvent."</w:t>
            </w:r>
          </w:p>
        </w:tc>
        <w:tc>
          <w:tcPr>
            <w:tcW w:type="dxa" w:w="2160"/>
          </w:tcPr>
          <w:p>
            <w:r>
              <w:t>Compliance &amp; Risk / Part V.B.2 / Rule V.B.2 / p44</w:t>
            </w:r>
          </w:p>
        </w:tc>
        <w:tc>
          <w:tcPr>
            <w:tcW w:type="dxa" w:w="2160"/>
          </w:tcPr>
          <w:p>
            <w:r>
              <w:t>Client VA 隔离钱包与 1:1 持有：禁止事项（见英文原文）。</w:t>
            </w:r>
          </w:p>
        </w:tc>
      </w:tr>
      <w:tr>
        <w:tc>
          <w:tcPr>
            <w:tcW w:type="dxa" w:w="2160"/>
          </w:tcPr>
          <w:p>
            <w:r>
              <w:t>C3</w:t>
            </w:r>
          </w:p>
        </w:tc>
        <w:tc>
          <w:tcPr>
            <w:tcW w:type="dxa" w:w="2160"/>
          </w:tcPr>
          <w:p>
            <w:r>
              <w:t>"VASPs shall hold Client VAs in separate VA Wallets from all Virtual Assets of the VASP. VASPs must include the label ‘Client VA Wallet’ in their books and records for all wallets holding Client VAs at all times."</w:t>
            </w:r>
          </w:p>
        </w:tc>
        <w:tc>
          <w:tcPr>
            <w:tcW w:type="dxa" w:w="2160"/>
          </w:tcPr>
          <w:p>
            <w:r>
              <w:t>Compliance &amp; Risk / Part V.B.3 / Rule V.B.3 / p44</w:t>
            </w:r>
          </w:p>
        </w:tc>
        <w:tc>
          <w:tcPr>
            <w:tcW w:type="dxa" w:w="2160"/>
          </w:tcPr>
          <w:p>
            <w:r>
              <w:t>Client VA 隔离钱包与 1:1 持有：控制要求（见英文原文）。</w:t>
            </w:r>
          </w:p>
        </w:tc>
      </w:tr>
      <w:tr>
        <w:tc>
          <w:tcPr>
            <w:tcW w:type="dxa" w:w="2160"/>
          </w:tcPr>
          <w:p>
            <w:r>
              <w:t>C4</w:t>
            </w:r>
          </w:p>
        </w:tc>
        <w:tc>
          <w:tcPr>
            <w:tcW w:type="dxa" w:w="2160"/>
          </w:tcPr>
          <w:p>
            <w:r>
              <w:t>"VASPs must hold Client VAs on a one-to-one basis and shall not authorise or permit rehypothecation of Client VAs, unless they have explicit prior consent from the client providing discretionary authority to do so, and are appropriately authorised and Licensed..."</w:t>
            </w:r>
          </w:p>
        </w:tc>
        <w:tc>
          <w:tcPr>
            <w:tcW w:type="dxa" w:w="2160"/>
          </w:tcPr>
          <w:p>
            <w:r>
              <w:t>Compliance &amp; Risk / Part V.B.4 / Rule V.B.4 / p44</w:t>
            </w:r>
          </w:p>
        </w:tc>
        <w:tc>
          <w:tcPr>
            <w:tcW w:type="dxa" w:w="2160"/>
          </w:tcPr>
          <w:p>
            <w:r>
              <w:t>Client VA 隔离钱包与 1:1 持有：禁止事项（见英文原文）。</w:t>
            </w:r>
          </w:p>
        </w:tc>
      </w:tr>
      <w:tr>
        <w:tc>
          <w:tcPr>
            <w:tcW w:type="dxa" w:w="2160"/>
          </w:tcPr>
          <w:p>
            <w:r>
              <w:t>C5</w:t>
            </w:r>
          </w:p>
        </w:tc>
        <w:tc>
          <w:tcPr>
            <w:tcW w:type="dxa" w:w="2160"/>
          </w:tcPr>
          <w:p>
            <w:r>
              <w:t>"All proceeds related to Client VAs, such as 'airdrops', 'staking gains' or similar proceeds shall accrue to the client’s benefit, unless the VASP has the client’s prior consent specified in a written agreement with the client or otherwise. VASPs may decide..."</w:t>
            </w:r>
          </w:p>
        </w:tc>
        <w:tc>
          <w:tcPr>
            <w:tcW w:type="dxa" w:w="2160"/>
          </w:tcPr>
          <w:p>
            <w:r>
              <w:t>Compliance &amp; Risk / Part V.B.5 / Rule V.B.5 / p45</w:t>
            </w:r>
          </w:p>
        </w:tc>
        <w:tc>
          <w:tcPr>
            <w:tcW w:type="dxa" w:w="2160"/>
          </w:tcPr>
          <w:p>
            <w:r>
              <w:t>Client VA 隔离钱包与 1:1 持有：控制要求（见英文原文）。</w:t>
            </w:r>
          </w:p>
        </w:tc>
      </w:tr>
      <w:tr>
        <w:tc>
          <w:tcPr>
            <w:tcW w:type="dxa" w:w="2160"/>
          </w:tcPr>
          <w:p>
            <w:r>
              <w:t>C6</w:t>
            </w:r>
          </w:p>
        </w:tc>
        <w:tc>
          <w:tcPr>
            <w:tcW w:type="dxa" w:w="2160"/>
          </w:tcPr>
          <w:p>
            <w:r>
              <w:t>"In addition to all requirements in Rule II.B of the Market Conduct Rulebook, VASPs shall not take ownership of Client VAs under any Client Agreement."</w:t>
            </w:r>
          </w:p>
        </w:tc>
        <w:tc>
          <w:tcPr>
            <w:tcW w:type="dxa" w:w="2160"/>
          </w:tcPr>
          <w:p>
            <w:r>
              <w:t>Compliance &amp; Risk / Part V.B.6 / Rule V.B.6 / p45</w:t>
            </w:r>
          </w:p>
        </w:tc>
        <w:tc>
          <w:tcPr>
            <w:tcW w:type="dxa" w:w="2160"/>
          </w:tcPr>
          <w:p>
            <w:r>
              <w:t>Client VA 隔离钱包与 1:1 持有：禁止事项（见英文原文）。</w:t>
            </w:r>
          </w:p>
        </w:tc>
      </w:tr>
      <w:tr>
        <w:tc>
          <w:tcPr>
            <w:tcW w:type="dxa" w:w="2160"/>
          </w:tcPr>
          <w:p>
            <w:r>
              <w:t>C7</w:t>
            </w:r>
          </w:p>
        </w:tc>
        <w:tc>
          <w:tcPr>
            <w:tcW w:type="dxa" w:w="2160"/>
          </w:tcPr>
          <w:p>
            <w:r>
              <w:t>"VASPs must maintain a system to ensure that accurate reconciliations of the Virtual Assets owned by each client are carried out daily. The reconciliation must include— a."</w:t>
            </w:r>
          </w:p>
        </w:tc>
        <w:tc>
          <w:tcPr>
            <w:tcW w:type="dxa" w:w="2160"/>
          </w:tcPr>
          <w:p>
            <w:r>
              <w:t>Compliance &amp; Risk / Part V.D.1 / Rule V.D.1 / p45</w:t>
            </w:r>
          </w:p>
        </w:tc>
        <w:tc>
          <w:tcPr>
            <w:tcW w:type="dxa" w:w="2160"/>
          </w:tcPr>
          <w:p>
            <w:r>
              <w:t>Client VA 隔离钱包与 1:1 持有：控制要求（关键时效/频率：daily）。</w:t>
            </w:r>
          </w:p>
        </w:tc>
      </w:tr>
      <w:tr>
        <w:tc>
          <w:tcPr>
            <w:tcW w:type="dxa" w:w="2160"/>
          </w:tcPr>
          <w:p>
            <w:r>
              <w:t>C8</w:t>
            </w:r>
          </w:p>
        </w:tc>
        <w:tc>
          <w:tcPr>
            <w:tcW w:type="dxa" w:w="2160"/>
          </w:tcPr>
          <w:p>
            <w:r>
              <w:t>"VASPs must notify VARA where there has been a material discrepancy with the reconciliation which has not been rectified."</w:t>
            </w:r>
          </w:p>
        </w:tc>
        <w:tc>
          <w:tcPr>
            <w:tcW w:type="dxa" w:w="2160"/>
          </w:tcPr>
          <w:p>
            <w:r>
              <w:t>Compliance &amp; Risk / Part V.D.2 / Rule V.D.2 / p45</w:t>
            </w:r>
          </w:p>
        </w:tc>
        <w:tc>
          <w:tcPr>
            <w:tcW w:type="dxa" w:w="2160"/>
          </w:tcPr>
          <w:p>
            <w:r>
              <w:t>Client VA 隔离钱包与 1:1 持有：禁止事项（见英文原文）。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Client VA 隔离钱包与 1:1 持有：相关活动必须形成可审计记录。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Client VA 隔离钱包与 1:1 持有：相关证据与记录至少保留八(8)年。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Client VA 隔离钱包与 1:1 持有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Client VA 隔离钱包与 1:1 持有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Client VA 隔离钱包与 1:1 持有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Client VA 隔离钱包与 1:1 持有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Client VA 隔离钱包与 1:1 持有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F-AUD-018-001 — Client VA 隔离钱包与 1:1 持有 主流程</w:t>
      </w:r>
    </w:p>
    <w:p>
      <w:r>
        <w:t>requirement_refs: C1/C2/C3/C4</w:t>
      </w:r>
    </w:p>
    <w:p>
      <w:r>
        <w:t>ASCII 流程图：</w:t>
      </w:r>
    </w:p>
    <w:p>
      <w:r>
        <w:t>[Start] -&gt; [Policy Approved] -&gt; [Execute Client VA 隔离钱包与 1:1 持有]</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F-AUD-018-002 — Client VA 隔离钱包与 1:1 持有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F-AUD-018-003 — Client VA 隔离钱包与 1:1 持有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Client VA 隔离钱包与 1:1 持有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Client VA 隔离钱包与 1:1 持有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Client VA 隔离钱包与 1:1 持有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Client VA 隔离钱包与 1:1 持有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Client VA 隔离钱包与 1:1 持有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daily）</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daily）</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daily）</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daily）</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Client VA 隔离钱包与 1:1 持有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Client VA 隔离钱包与 1:1 持有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