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CAP-019_Audit_Compliance_Guide_v2</w:t>
      </w:r>
    </w:p>
    <w:p>
      <w:pPr>
        <w:jc w:val="center"/>
      </w:pPr>
      <w:r>
        <w:t>储备资产覆盖与 PoR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CAP-019</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Company Part VI.E; Compliance &amp; Risk Part V.C; Compliance &amp; Risk Part I.H; Company Part VI.F</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CAP-019（储备资产覆盖与 PoR）在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at all times, maintain reserve assets equivalent to one hundred percent (100%) of the liabilities owed to clients with respect to all VA Activities ("Reserve Assets")."</w:t>
            </w:r>
          </w:p>
        </w:tc>
        <w:tc>
          <w:tcPr>
            <w:tcW w:type="dxa" w:w="2160"/>
          </w:tcPr>
          <w:p>
            <w:r>
              <w:t>Company / Part VI.E.1 / Rule VI.E.1 / p47</w:t>
            </w:r>
          </w:p>
        </w:tc>
        <w:tc>
          <w:tcPr>
            <w:tcW w:type="dxa" w:w="2160"/>
          </w:tcPr>
          <w:p>
            <w:r>
              <w:t>储备资产覆盖与 PoR：控制要求（见英文原文）。</w:t>
            </w:r>
          </w:p>
        </w:tc>
      </w:tr>
      <w:tr>
        <w:tc>
          <w:tcPr>
            <w:tcW w:type="dxa" w:w="2160"/>
          </w:tcPr>
          <w:p>
            <w:r>
              <w:t>C2</w:t>
            </w:r>
          </w:p>
        </w:tc>
        <w:tc>
          <w:tcPr>
            <w:tcW w:type="dxa" w:w="2160"/>
          </w:tcPr>
          <w:p>
            <w:r>
              <w:t>"VASPs must hold Reserve Assets on a one-to-one basis in the same Virtual Asset that liabilities are owed to its clients."</w:t>
            </w:r>
          </w:p>
        </w:tc>
        <w:tc>
          <w:tcPr>
            <w:tcW w:type="dxa" w:w="2160"/>
          </w:tcPr>
          <w:p>
            <w:r>
              <w:t>Company / Part VI.E.2 / Rule VI.E.2 / p47</w:t>
            </w:r>
          </w:p>
        </w:tc>
        <w:tc>
          <w:tcPr>
            <w:tcW w:type="dxa" w:w="2160"/>
          </w:tcPr>
          <w:p>
            <w:r>
              <w:t>储备资产覆盖与 PoR：控制要求（见英文原文）。</w:t>
            </w:r>
          </w:p>
        </w:tc>
      </w:tr>
      <w:tr>
        <w:tc>
          <w:tcPr>
            <w:tcW w:type="dxa" w:w="2160"/>
          </w:tcPr>
          <w:p>
            <w:r>
              <w:t>C3</w:t>
            </w:r>
          </w:p>
        </w:tc>
        <w:tc>
          <w:tcPr>
            <w:tcW w:type="dxa" w:w="2160"/>
          </w:tcPr>
          <w:p>
            <w:r>
              <w:t>"Reserve Assets must be reconciled on a daily basis and audited by an independent third-party auditor no less than every six (6) months. VASPs shall include such audit reports as part of the subsequent quarterly report to VARA required in the Compliance and..."</w:t>
            </w:r>
          </w:p>
        </w:tc>
        <w:tc>
          <w:tcPr>
            <w:tcW w:type="dxa" w:w="2160"/>
          </w:tcPr>
          <w:p>
            <w:r>
              <w:t>Company / Part VI.E.3 / Rule VI.E.3 / p47</w:t>
            </w:r>
          </w:p>
        </w:tc>
        <w:tc>
          <w:tcPr>
            <w:tcW w:type="dxa" w:w="2160"/>
          </w:tcPr>
          <w:p>
            <w:r>
              <w:t>储备资产覆盖与 PoR：控制要求（关键时效/频率：daily, quarterly）。</w:t>
            </w:r>
          </w:p>
        </w:tc>
      </w:tr>
      <w:tr>
        <w:tc>
          <w:tcPr>
            <w:tcW w:type="dxa" w:w="2160"/>
          </w:tcPr>
          <w:p>
            <w:r>
              <w:t>C4</w:t>
            </w:r>
          </w:p>
        </w:tc>
        <w:tc>
          <w:tcPr>
            <w:tcW w:type="dxa" w:w="2160"/>
          </w:tcPr>
          <w:p>
            <w:r>
              <w:t>"In addition to the Reserve Assets requirements in the Company Rulebook, VASPs shall comply with a ll requirements stipulated by VARA f rom time to time, including as part of a VASP’s licensing process, in order to demonstrate that assets held in reserve cover..."</w:t>
            </w:r>
          </w:p>
        </w:tc>
        <w:tc>
          <w:tcPr>
            <w:tcW w:type="dxa" w:w="2160"/>
          </w:tcPr>
          <w:p>
            <w:r>
              <w:t>Compliance &amp; Risk / Part V.C.1 / Rule V.C.1 / p45</w:t>
            </w:r>
          </w:p>
        </w:tc>
        <w:tc>
          <w:tcPr>
            <w:tcW w:type="dxa" w:w="2160"/>
          </w:tcPr>
          <w:p>
            <w:r>
              <w:t>储备资产覆盖与 PoR：控制要求（见英文原文）。</w:t>
            </w:r>
          </w:p>
        </w:tc>
      </w:tr>
      <w:tr>
        <w:tc>
          <w:tcPr>
            <w:tcW w:type="dxa" w:w="2160"/>
          </w:tcPr>
          <w:p>
            <w:r>
              <w:t>C5</w:t>
            </w:r>
          </w:p>
        </w:tc>
        <w:tc>
          <w:tcPr>
            <w:tcW w:type="dxa" w:w="2160"/>
          </w:tcPr>
          <w:p>
            <w:r>
              <w:t>"a statement demonstrating compliance with any financial requirements established by VARA including but not limited to Reserve Assets;"</w:t>
            </w:r>
          </w:p>
        </w:tc>
        <w:tc>
          <w:tcPr>
            <w:tcW w:type="dxa" w:w="2160"/>
          </w:tcPr>
          <w:p>
            <w:r>
              <w:t>Compliance &amp; Risk / Part I.H.2(b) / Rule I.H.2(b) / p18</w:t>
            </w:r>
          </w:p>
        </w:tc>
        <w:tc>
          <w:tcPr>
            <w:tcW w:type="dxa" w:w="2160"/>
          </w:tcPr>
          <w:p>
            <w:r>
              <w:t>储备资产覆盖与 PoR：控制要求（见英文原文）。</w:t>
            </w:r>
          </w:p>
        </w:tc>
      </w:tr>
      <w:tr>
        <w:tc>
          <w:tcPr>
            <w:tcW w:type="dxa" w:w="2160"/>
          </w:tcPr>
          <w:p>
            <w:r>
              <w:t>C6</w:t>
            </w:r>
          </w:p>
        </w:tc>
        <w:tc>
          <w:tcPr>
            <w:tcW w:type="dxa" w:w="2160"/>
          </w:tcPr>
          <w:p>
            <w:r>
              <w:t>"VASPs shall notify VARA immediately if, at any time, it is unable to maintain or fails to meet the Paid-Up Capital, Net Liquid Assets , Insurance or Reserve Assets requirements above and such notification shall include details of— a. all deficit amounts; b."</w:t>
            </w:r>
          </w:p>
        </w:tc>
        <w:tc>
          <w:tcPr>
            <w:tcW w:type="dxa" w:w="2160"/>
          </w:tcPr>
          <w:p>
            <w:r>
              <w:t>Company / Part VI.F.1 / Rule VI.F.1 / p47</w:t>
            </w:r>
          </w:p>
        </w:tc>
        <w:tc>
          <w:tcPr>
            <w:tcW w:type="dxa" w:w="2160"/>
          </w:tcPr>
          <w:p>
            <w:r>
              <w:t>储备资产覆盖与 PoR：禁止事项（见英文原文）。</w:t>
            </w:r>
          </w:p>
        </w:tc>
      </w:tr>
      <w:tr>
        <w:tc>
          <w:tcPr>
            <w:tcW w:type="dxa" w:w="2160"/>
          </w:tcPr>
          <w:p>
            <w:r>
              <w:t>C7</w:t>
            </w:r>
          </w:p>
        </w:tc>
        <w:tc>
          <w:tcPr>
            <w:tcW w:type="dxa" w:w="2160"/>
          </w:tcPr>
          <w:p>
            <w:r>
              <w:t>"VASPs shall provide updates to VARA on a daily basis in respect of any notification under Rule VI.F.1 of this Company Rulebook above, unless otherwise directed by VARA or until the VASP confirms and VARA is satisfied that it has rectified all failures and is..."</w:t>
            </w:r>
          </w:p>
        </w:tc>
        <w:tc>
          <w:tcPr>
            <w:tcW w:type="dxa" w:w="2160"/>
          </w:tcPr>
          <w:p>
            <w:r>
              <w:t>Company / Part VI.F.2 / Rule VI.F.2 / p47</w:t>
            </w:r>
          </w:p>
        </w:tc>
        <w:tc>
          <w:tcPr>
            <w:tcW w:type="dxa" w:w="2160"/>
          </w:tcPr>
          <w:p>
            <w:r>
              <w:t>储备资产覆盖与 PoR：控制要求（关键时效/频率：daily）。</w:t>
            </w:r>
          </w:p>
        </w:tc>
      </w:tr>
      <w:tr>
        <w:tc>
          <w:tcPr>
            <w:tcW w:type="dxa" w:w="2160"/>
          </w:tcPr>
          <w:p>
            <w:r>
              <w:t>C8</w:t>
            </w:r>
          </w:p>
        </w:tc>
        <w:tc>
          <w:tcPr>
            <w:tcW w:type="dxa" w:w="2160"/>
          </w:tcPr>
          <w:p>
            <w:r>
              <w:t>"Notwithstanding all other requirements in the Compliance and Risk Management Rulebook, VASPs shall establish and maintain clear procedures to monitor and identify all sources of risks or potential risks that may impact its operation and shall consider the..."</w:t>
            </w:r>
          </w:p>
        </w:tc>
        <w:tc>
          <w:tcPr>
            <w:tcW w:type="dxa" w:w="2160"/>
          </w:tcPr>
          <w:p>
            <w:r>
              <w:t>Company / Part VI.F.3 / Rule VI.F.3 / p47</w:t>
            </w:r>
          </w:p>
        </w:tc>
        <w:tc>
          <w:tcPr>
            <w:tcW w:type="dxa" w:w="2160"/>
          </w:tcPr>
          <w:p>
            <w:r>
              <w:t>储备资产覆盖与 PoR：控制要求（见英文原文）。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储备资产覆盖与 PoR：相关活动必须形成可审计记录。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储备资产覆盖与 PoR：相关证据与记录至少保留八(8)年。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储备资产覆盖与 PoR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储备资产覆盖与 PoR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储备资产覆盖与 PoR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储备资产覆盖与 PoR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储备资产覆盖与 PoR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F-AUD-019-001 — 储备资产覆盖与 PoR 主流程</w:t>
      </w:r>
    </w:p>
    <w:p>
      <w:r>
        <w:t>requirement_refs: C1/C2/C3/C4</w:t>
      </w:r>
    </w:p>
    <w:p>
      <w:r>
        <w:t>ASCII 流程图：</w:t>
      </w:r>
    </w:p>
    <w:p>
      <w:r>
        <w:t>[Start] -&gt; [Policy Approved] -&gt; [Execute 储备资产覆盖与 PoR]</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F-AUD-019-002 — 储备资产覆盖与 PoR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F-AUD-019-003 — 储备资产覆盖与 PoR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储备资产覆盖与 PoR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储备资产覆盖与 PoR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储备资产覆盖与 PoR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储备资产覆盖与 PoR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储备资产覆盖与 PoR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daily, quarterly）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daily, quarterly）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daily, quarterly）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daily, quarterly）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储备资产覆盖与 PoR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储备资产覆盖与 PoR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