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CAP-021_Audit_Compliance_Guide_v2</w:t>
      </w:r>
    </w:p>
    <w:p>
      <w:pPr>
        <w:jc w:val="center"/>
      </w:pPr>
      <w:r>
        <w:t>客户虚拟资产日对账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CAP-021</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V.D; Compliance &amp; Risk Part V.B; Compliance &amp; Risk Part I.E; Technology &amp; Information Schedule 1 B; Technology &amp; Information Schedule 1 C</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CAP-021（客户虚拟资产日对账）在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maintain a system to ensure that accurate reconciliations of the Virtual Assets owned by each client are carried out daily. The reconciliation must include— a."</w:t>
            </w:r>
          </w:p>
        </w:tc>
        <w:tc>
          <w:tcPr>
            <w:tcW w:type="dxa" w:w="2160"/>
          </w:tcPr>
          <w:p>
            <w:r>
              <w:t>Compliance &amp; Risk / Part V.D.1 / Rule V.D.1 / p45</w:t>
            </w:r>
          </w:p>
        </w:tc>
        <w:tc>
          <w:tcPr>
            <w:tcW w:type="dxa" w:w="2160"/>
          </w:tcPr>
          <w:p>
            <w:r>
              <w:t>客户虚拟资产日对账：控制要求（关键时效/频率：daily）。</w:t>
            </w:r>
          </w:p>
        </w:tc>
      </w:tr>
      <w:tr>
        <w:tc>
          <w:tcPr>
            <w:tcW w:type="dxa" w:w="2160"/>
          </w:tcPr>
          <w:p>
            <w:r>
              <w:t>C2</w:t>
            </w:r>
          </w:p>
        </w:tc>
        <w:tc>
          <w:tcPr>
            <w:tcW w:type="dxa" w:w="2160"/>
          </w:tcPr>
          <w:p>
            <w:r>
              <w:t>"VASPs must notify VARA where there has been a material discrepancy with the reconciliation which has not been rectified."</w:t>
            </w:r>
          </w:p>
        </w:tc>
        <w:tc>
          <w:tcPr>
            <w:tcW w:type="dxa" w:w="2160"/>
          </w:tcPr>
          <w:p>
            <w:r>
              <w:t>Compliance &amp; Risk / Part V.D.2 / Rule V.D.2 / p45</w:t>
            </w:r>
          </w:p>
        </w:tc>
        <w:tc>
          <w:tcPr>
            <w:tcW w:type="dxa" w:w="2160"/>
          </w:tcPr>
          <w:p>
            <w:r>
              <w:t>客户虚拟资产日对账：禁止事项（见英文原文）。</w:t>
            </w:r>
          </w:p>
        </w:tc>
      </w:tr>
      <w:tr>
        <w:tc>
          <w:tcPr>
            <w:tcW w:type="dxa" w:w="2160"/>
          </w:tcPr>
          <w:p>
            <w:r>
              <w:t>C3</w:t>
            </w:r>
          </w:p>
        </w:tc>
        <w:tc>
          <w:tcPr>
            <w:tcW w:type="dxa" w:w="2160"/>
          </w:tcPr>
          <w:p>
            <w:r>
              <w:t>"VASPs shall hold Client VAs in separate VA Wallets from all Virtual Assets of the VASP. VASPs must include the label ‘Client VA Wallet’ in their books and records for all wallets holding Client VAs at all times."</w:t>
            </w:r>
          </w:p>
        </w:tc>
        <w:tc>
          <w:tcPr>
            <w:tcW w:type="dxa" w:w="2160"/>
          </w:tcPr>
          <w:p>
            <w:r>
              <w:t>Compliance &amp; Risk / Part V.B.3 / Rule V.B.3 / p44</w:t>
            </w:r>
          </w:p>
        </w:tc>
        <w:tc>
          <w:tcPr>
            <w:tcW w:type="dxa" w:w="2160"/>
          </w:tcPr>
          <w:p>
            <w:r>
              <w:t>客户虚拟资产日对账：控制要求（见英文原文）。</w:t>
            </w:r>
          </w:p>
        </w:tc>
      </w:tr>
      <w:tr>
        <w:tc>
          <w:tcPr>
            <w:tcW w:type="dxa" w:w="2160"/>
          </w:tcPr>
          <w:p>
            <w:r>
              <w:t>C4</w:t>
            </w:r>
          </w:p>
        </w:tc>
        <w:tc>
          <w:tcPr>
            <w:tcW w:type="dxa" w:w="2160"/>
          </w:tcPr>
          <w:p>
            <w:r>
              <w:t>"VASPs must hold Client VAs on a one-to-one basis and shall not authorise or permit rehypothecation of Client VAs, unless they have explicit prior consent from the client providing discretionary authority to do so, and are appropriately authorised and Licensed..."</w:t>
            </w:r>
          </w:p>
        </w:tc>
        <w:tc>
          <w:tcPr>
            <w:tcW w:type="dxa" w:w="2160"/>
          </w:tcPr>
          <w:p>
            <w:r>
              <w:t>Compliance &amp; Risk / Part V.B.4 / Rule V.B.4 / p44</w:t>
            </w:r>
          </w:p>
        </w:tc>
        <w:tc>
          <w:tcPr>
            <w:tcW w:type="dxa" w:w="2160"/>
          </w:tcPr>
          <w:p>
            <w:r>
              <w:t>客户虚拟资产日对账：禁止事项（见英文原文）。</w:t>
            </w:r>
          </w:p>
        </w:tc>
      </w:tr>
      <w:tr>
        <w:tc>
          <w:tcPr>
            <w:tcW w:type="dxa" w:w="2160"/>
          </w:tcPr>
          <w:p>
            <w:r>
              <w:t>C5</w:t>
            </w:r>
          </w:p>
        </w:tc>
        <w:tc>
          <w:tcPr>
            <w:tcW w:type="dxa" w:w="2160"/>
          </w:tcPr>
          <w:p>
            <w:r>
              <w:t>"VASPs shall regularly check all— a. records and reports, whether issued by third parties, such as banks, other VASPs, or other virtual asset service providers outside of the Emirate; and b."</w:t>
            </w:r>
          </w:p>
        </w:tc>
        <w:tc>
          <w:tcPr>
            <w:tcW w:type="dxa" w:w="2160"/>
          </w:tcPr>
          <w:p>
            <w:r>
              <w:t>Compliance &amp; Risk / Part I.E.5 / Rule I.E.5 / p16</w:t>
            </w:r>
          </w:p>
        </w:tc>
        <w:tc>
          <w:tcPr>
            <w:tcW w:type="dxa" w:w="2160"/>
          </w:tcPr>
          <w:p>
            <w:r>
              <w:t>客户虚拟资产日对账：控制要求（见英文原文）。</w:t>
            </w:r>
          </w:p>
        </w:tc>
      </w:tr>
      <w:tr>
        <w:tc>
          <w:tcPr>
            <w:tcW w:type="dxa" w:w="2160"/>
          </w:tcPr>
          <w:p>
            <w:r>
              <w:t>C6</w:t>
            </w:r>
          </w:p>
        </w:tc>
        <w:tc>
          <w:tcPr>
            <w:tcW w:type="dxa" w:w="2160"/>
          </w:tcPr>
          <w:p>
            <w:r>
              <w:t>"Audit logging standard : To enhance visibility into system activities and support effective investigation of security incidents, VASPs are expected to implement comprehensive monitoring and logging systems that— a. capture all security -relevant events and..."</w:t>
            </w:r>
          </w:p>
        </w:tc>
        <w:tc>
          <w:tcPr>
            <w:tcW w:type="dxa" w:w="2160"/>
          </w:tcPr>
          <w:p>
            <w:r>
              <w:t>Technology &amp; Information / Schedule 1 B.13 / Guidance B.13 / p24</w:t>
            </w:r>
          </w:p>
        </w:tc>
        <w:tc>
          <w:tcPr>
            <w:tcW w:type="dxa" w:w="2160"/>
          </w:tcPr>
          <w:p>
            <w:r>
              <w:t>客户虚拟资产日对账：控制要求（见英文原文）。</w:t>
            </w:r>
          </w:p>
        </w:tc>
      </w:tr>
      <w:tr>
        <w:tc>
          <w:tcPr>
            <w:tcW w:type="dxa" w:w="2160"/>
          </w:tcPr>
          <w:p>
            <w:r>
              <w:t>C7</w:t>
            </w:r>
          </w:p>
        </w:tc>
        <w:tc>
          <w:tcPr>
            <w:tcW w:type="dxa" w:w="2160"/>
          </w:tcPr>
          <w:p>
            <w:r>
              <w:t>"Internal user activity monitoring standard : To enhance the ability to identify compromised accounts or insider threats early, VASPs are expected to implement monitoring of internal user activities, including but not limited to— a. authentication attempts and..."</w:t>
            </w:r>
          </w:p>
        </w:tc>
        <w:tc>
          <w:tcPr>
            <w:tcW w:type="dxa" w:w="2160"/>
          </w:tcPr>
          <w:p>
            <w:r>
              <w:t>Technology &amp; Information / Schedule 1 C.2 / Guidance C.2 / p25</w:t>
            </w:r>
          </w:p>
        </w:tc>
        <w:tc>
          <w:tcPr>
            <w:tcW w:type="dxa" w:w="2160"/>
          </w:tcPr>
          <w:p>
            <w:r>
              <w:t>客户虚拟资产日对账：控制要求（见英文原文）。</w:t>
            </w:r>
          </w:p>
        </w:tc>
      </w:tr>
      <w:tr>
        <w:tc>
          <w:tcPr>
            <w:tcW w:type="dxa" w:w="2160"/>
          </w:tcPr>
          <w:p>
            <w:r>
              <w:t>C8</w:t>
            </w:r>
          </w:p>
        </w:tc>
        <w:tc>
          <w:tcPr>
            <w:tcW w:type="dxa" w:w="2160"/>
          </w:tcPr>
          <w:p>
            <w:r>
              <w:t>"VASPs must have in place the necessary policies, systems and controls, appropriate to the nature and scale of their operations, to ensure compliance with this Part V of the Compliance and Risk Management Rulebook."</w:t>
            </w:r>
          </w:p>
        </w:tc>
        <w:tc>
          <w:tcPr>
            <w:tcW w:type="dxa" w:w="2160"/>
          </w:tcPr>
          <w:p>
            <w:r>
              <w:t>Compliance &amp; Risk / Part V.B.1 / Rule V.B.1 / p44</w:t>
            </w:r>
          </w:p>
        </w:tc>
        <w:tc>
          <w:tcPr>
            <w:tcW w:type="dxa" w:w="2160"/>
          </w:tcPr>
          <w:p>
            <w:r>
              <w:t>客户虚拟资产日对账：控制要求（见英文原文）。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客户虚拟资产日对账：相关活动必须形成可审计记录。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客户虚拟资产日对账：相关证据与记录至少保留八(8)年。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客户虚拟资产日对账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客户虚拟资产日对账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客户虚拟资产日对账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客户虚拟资产日对账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客户虚拟资产日对账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F-AUD-021-001 — 客户虚拟资产日对账 主流程</w:t>
      </w:r>
    </w:p>
    <w:p>
      <w:r>
        <w:t>requirement_refs: C1/C2/C3/C4</w:t>
      </w:r>
    </w:p>
    <w:p>
      <w:r>
        <w:t>ASCII 流程图：</w:t>
      </w:r>
    </w:p>
    <w:p>
      <w:r>
        <w:t>[Start] -&gt; [Policy Approved] -&gt; [Execute 客户虚拟资产日对账]</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F-AUD-021-002 — 客户虚拟资产日对账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F-AUD-021-003 — 客户虚拟资产日对账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客户虚拟资产日对账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客户虚拟资产日对账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客户虚拟资产日对账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客户虚拟资产日对账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客户虚拟资产日对账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daily）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daily）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daily）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daily）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客户虚拟资产日对账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客户虚拟资产日对账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