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CAP-022_Audit_Compliance_Guide_v2</w:t>
      </w:r>
    </w:p>
    <w:p>
      <w:pPr>
        <w:jc w:val="center"/>
      </w:pPr>
      <w:r>
        <w:t>分类总账与客户分账本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CAP-022</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IV.E; Compliance &amp; Risk Part V.D; Compliance &amp; Risk Part I.E</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CAP-022（分类总账与客户分账本）在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"keeping a general ledger containing all assets (including Virtual Assets ), liabilities, ownership equity, income and expense accounts;"</w:t>
            </w:r>
          </w:p>
        </w:tc>
        <w:tc>
          <w:tcPr>
            <w:tcW w:type="dxa" w:w="2160"/>
          </w:tcPr>
          <w:p>
            <w:r>
              <w:t>Compliance &amp; Risk / Part I.F.1(e) / Rule I.F.1(e) / p16</w:t>
            </w:r>
          </w:p>
        </w:tc>
        <w:tc>
          <w:tcPr>
            <w:tcW w:type="dxa" w:w="2160"/>
          </w:tcPr>
          <w:p>
            <w:r>
              <w:t>分类总账与客户分账本：控制要求（见英文原文）。</w:t>
            </w:r>
          </w:p>
        </w:tc>
      </w:tr>
      <w:tr>
        <w:tc>
          <w:tcPr>
            <w:tcW w:type="dxa" w:w="2160"/>
          </w:tcPr>
          <w:p>
            <w:r>
              <w:t>C2</w:t>
            </w:r>
          </w:p>
        </w:tc>
        <w:tc>
          <w:tcPr>
            <w:tcW w:type="dxa" w:w="2160"/>
          </w:tcPr>
          <w:p>
            <w:r>
              <w:t>"keeping proper audit trails of all transactions, such as the amount, date and time of each transaction, any payment instruction, the total amount of fees and charges, the names, details of accounts or VA Wallet s and country of residence of the clients and to..."</w:t>
            </w:r>
          </w:p>
        </w:tc>
        <w:tc>
          <w:tcPr>
            <w:tcW w:type="dxa" w:w="2160"/>
          </w:tcPr>
          <w:p>
            <w:r>
              <w:t>Compliance &amp; Risk / Part I.F.1(a) / Rule I.F.1(a) / p16</w:t>
            </w:r>
          </w:p>
        </w:tc>
        <w:tc>
          <w:tcPr>
            <w:tcW w:type="dxa" w:w="2160"/>
          </w:tcPr>
          <w:p>
            <w:r>
              <w:t>分类总账与客户分账本：控制要求（见英文原文）。</w:t>
            </w:r>
          </w:p>
        </w:tc>
      </w:tr>
      <w:tr>
        <w:tc>
          <w:tcPr>
            <w:tcW w:type="dxa" w:w="2160"/>
          </w:tcPr>
          <w:p>
            <w:r>
              <w:t>C3</w:t>
            </w:r>
          </w:p>
        </w:tc>
        <w:tc>
          <w:tcPr>
            <w:tcW w:type="dxa" w:w="2160"/>
          </w:tcPr>
          <w:p>
            <w:r>
              <w:t>"a full list of individual client credit ledger balances, as recorded by the VASP;"</w:t>
            </w:r>
          </w:p>
        </w:tc>
        <w:tc>
          <w:tcPr>
            <w:tcW w:type="dxa" w:w="2160"/>
          </w:tcPr>
          <w:p>
            <w:r>
              <w:t>Compliance &amp; Risk / Part IV.E.1(a) / Rule IV.E.1(a) / p42</w:t>
            </w:r>
          </w:p>
        </w:tc>
        <w:tc>
          <w:tcPr>
            <w:tcW w:type="dxa" w:w="2160"/>
          </w:tcPr>
          <w:p>
            <w:r>
              <w:t>分类总账与客户分账本：控制要求（见英文原文）。</w:t>
            </w:r>
          </w:p>
        </w:tc>
      </w:tr>
      <w:tr>
        <w:tc>
          <w:tcPr>
            <w:tcW w:type="dxa" w:w="2160"/>
          </w:tcPr>
          <w:p>
            <w:r>
              <w:t>C4</w:t>
            </w:r>
          </w:p>
        </w:tc>
        <w:tc>
          <w:tcPr>
            <w:tcW w:type="dxa" w:w="2160"/>
          </w:tcPr>
          <w:p>
            <w:r>
              <w:t>"a full list of individual client debit ledger balances, as recorded by the VASP;"</w:t>
            </w:r>
          </w:p>
        </w:tc>
        <w:tc>
          <w:tcPr>
            <w:tcW w:type="dxa" w:w="2160"/>
          </w:tcPr>
          <w:p>
            <w:r>
              <w:t>Compliance &amp; Risk / Part IV.E.1(b) / Rule IV.E.1(b) / p42</w:t>
            </w:r>
          </w:p>
        </w:tc>
        <w:tc>
          <w:tcPr>
            <w:tcW w:type="dxa" w:w="2160"/>
          </w:tcPr>
          <w:p>
            <w:r>
              <w:t>分类总账与客户分账本：控制要求（见英文原文）。</w:t>
            </w:r>
          </w:p>
        </w:tc>
      </w:tr>
      <w:tr>
        <w:tc>
          <w:tcPr>
            <w:tcW w:type="dxa" w:w="2160"/>
          </w:tcPr>
          <w:p>
            <w:r>
              <w:t>C5</w:t>
            </w:r>
          </w:p>
        </w:tc>
        <w:tc>
          <w:tcPr>
            <w:tcW w:type="dxa" w:w="2160"/>
          </w:tcPr>
          <w:p>
            <w:r>
              <w:t>"a full list of individual client credit ledger balances, as recorded by the VASP; and"</w:t>
            </w:r>
          </w:p>
        </w:tc>
        <w:tc>
          <w:tcPr>
            <w:tcW w:type="dxa" w:w="2160"/>
          </w:tcPr>
          <w:p>
            <w:r>
              <w:t>Compliance &amp; Risk / Part V.D.1(a) / Rule V.D.1(a) / p45</w:t>
            </w:r>
          </w:p>
        </w:tc>
        <w:tc>
          <w:tcPr>
            <w:tcW w:type="dxa" w:w="2160"/>
          </w:tcPr>
          <w:p>
            <w:r>
              <w:t>分类总账与客户分账本：控制要求（见英文原文）。</w:t>
            </w:r>
          </w:p>
        </w:tc>
      </w:tr>
      <w:tr>
        <w:tc>
          <w:tcPr>
            <w:tcW w:type="dxa" w:w="2160"/>
          </w:tcPr>
          <w:p>
            <w:r>
              <w:t>C6</w:t>
            </w:r>
          </w:p>
        </w:tc>
        <w:tc>
          <w:tcPr>
            <w:tcW w:type="dxa" w:w="2160"/>
          </w:tcPr>
          <w:p>
            <w:r>
              <w:t>"a full list of individual client debit ledger balances, as recorded by the VASP."</w:t>
            </w:r>
          </w:p>
        </w:tc>
        <w:tc>
          <w:tcPr>
            <w:tcW w:type="dxa" w:w="2160"/>
          </w:tcPr>
          <w:p>
            <w:r>
              <w:t>Compliance &amp; Risk / Part V.D.1(b) / Rule V.D.1(b) / p45</w:t>
            </w:r>
          </w:p>
        </w:tc>
        <w:tc>
          <w:tcPr>
            <w:tcW w:type="dxa" w:w="2160"/>
          </w:tcPr>
          <w:p>
            <w:r>
              <w:t>分类总账与客户分账本：控制要求（见英文原文）。</w:t>
            </w:r>
          </w:p>
        </w:tc>
      </w:tr>
      <w:tr>
        <w:tc>
          <w:tcPr>
            <w:tcW w:type="dxa" w:w="2160"/>
          </w:tcPr>
          <w:p>
            <w:r>
              <w:t>C7</w:t>
            </w:r>
          </w:p>
        </w:tc>
        <w:tc>
          <w:tcPr>
            <w:tcW w:type="dxa" w:w="2160"/>
          </w:tcPr>
          <w:p>
            <w:r>
              <w:t>"VASPs shall regularly check all— a. records and reports, whether issued by third parties, such as banks, other VASPs, or other virtual asset service providers outside of the Emirate; and b."</w:t>
            </w:r>
          </w:p>
        </w:tc>
        <w:tc>
          <w:tcPr>
            <w:tcW w:type="dxa" w:w="2160"/>
          </w:tcPr>
          <w:p>
            <w:r>
              <w:t>Compliance &amp; Risk / Part I.E.5 / Rule I.E.5 / p16</w:t>
            </w:r>
          </w:p>
        </w:tc>
        <w:tc>
          <w:tcPr>
            <w:tcW w:type="dxa" w:w="2160"/>
          </w:tcPr>
          <w:p>
            <w:r>
              <w:t>分类总账与客户分账本：控制要求（见英文原文）。</w:t>
            </w:r>
          </w:p>
        </w:tc>
      </w:tr>
      <w:tr>
        <w:tc>
          <w:tcPr>
            <w:tcW w:type="dxa" w:w="2160"/>
          </w:tcPr>
          <w:p>
            <w:r>
              <w:t>C8</w:t>
            </w:r>
          </w:p>
        </w:tc>
        <w:tc>
          <w:tcPr>
            <w:tcW w:type="dxa" w:w="2160"/>
          </w:tcPr>
          <w:p>
            <w:r>
              <w:t>"keeping statements or valuations sent or provided to clients and counterparties;"</w:t>
            </w:r>
          </w:p>
        </w:tc>
        <w:tc>
          <w:tcPr>
            <w:tcW w:type="dxa" w:w="2160"/>
          </w:tcPr>
          <w:p>
            <w:r>
              <w:t>Compliance &amp; Risk / Part I.F.1(f) / Rule I.F.1(f) / p16</w:t>
            </w:r>
          </w:p>
        </w:tc>
        <w:tc>
          <w:tcPr>
            <w:tcW w:type="dxa" w:w="2160"/>
          </w:tcPr>
          <w:p>
            <w:r>
              <w:t>分类总账与客户分账本：控制要求（见英文原文）。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分类总账与客户分账本：相关活动必须形成可审计记录。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分类总账与客户分账本：相关证据与记录至少保留八(8)年。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分类总账与客户分账本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分类总账与客户分账本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分类总账与客户分账本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分类总账与客户分账本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分类总账与客户分账本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F-AUD-022-001 — 分类总账与客户分账本 主流程</w:t>
      </w:r>
    </w:p>
    <w:p>
      <w:r>
        <w:t>requirement_refs: C1/C2/C3/C4</w:t>
      </w:r>
    </w:p>
    <w:p>
      <w:r>
        <w:t>ASCII 流程图：</w:t>
      </w:r>
    </w:p>
    <w:p>
      <w:r>
        <w:t>[Start] -&gt; [Policy Approved] -&gt; [Execute 分类总账与客户分账本]</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F-AUD-022-002 — 分类总账与客户分账本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F-AUD-022-003 — 分类总账与客户分账本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分类总账与客户分账本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分类总账与客户分账本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分类总账与客户分账本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分类总账与客户分账本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分类总账与客户分账本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分类总账与客户分账本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分类总账与客户分账本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