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CAP-023_Audit_Compliance_Guide_v2</w:t>
      </w:r>
    </w:p>
    <w:p>
      <w:pPr>
        <w:jc w:val="center"/>
      </w:pPr>
      <w:r>
        <w:t>提现可得性保障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CAP-023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I.F; Broker-Dealer Part I.A; Compliance &amp; Risk Part IV.B; Technology &amp; Information Part I.B; Technology &amp; Information Schedule 1 D; Compliance &amp; Risk Part I.A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CAP-023（提现可得性保障）在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"the ability of clients to have access to and withdraw their Virtual Assets including, but not limited to, during periods of high uncertainty and/or extreme volatility; and"</w:t>
            </w:r>
          </w:p>
        </w:tc>
        <w:tc>
          <w:tcPr>
            <w:tcW w:type="dxa" w:w="2160"/>
          </w:tcPr>
          <w:p>
            <w:r>
              <w:t>Broker-Dealer / Part I.A.1(c) / Rule I.A.1(c) / p4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"VASPs must have procedures for ensuring all withdrawals from a Client Account are authorised."</w:t>
            </w:r>
          </w:p>
        </w:tc>
        <w:tc>
          <w:tcPr>
            <w:tcW w:type="dxa" w:w="2160"/>
          </w:tcPr>
          <w:p>
            <w:r>
              <w:t>Compliance &amp; Risk / Part IV.B.10(a) / Rule IV.B.10(a) / p39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"paid to the client on whose behalf the Client Money is held;"</w:t>
            </w:r>
          </w:p>
        </w:tc>
        <w:tc>
          <w:tcPr>
            <w:tcW w:type="dxa" w:w="2160"/>
          </w:tcPr>
          <w:p>
            <w:r>
              <w:t>Compliance &amp; Risk / Part IV.B.10(b)(ii) / Rule IV.B.10(b)(ii) / p39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"paid in accordance with a client’s instruction on whose behalf the Client Money is held;"</w:t>
            </w:r>
          </w:p>
        </w:tc>
        <w:tc>
          <w:tcPr>
            <w:tcW w:type="dxa" w:w="2160"/>
          </w:tcPr>
          <w:p>
            <w:r>
              <w:t>Compliance &amp; Risk / Part IV.B.10(b)(iii) / Rule IV.B.10(b)(iii) / p39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"procedures regarding their facilitation of Virtual Asset transactions initiated by a client including, but not limited to , considering multi -factor authentication or any better standard for Virtual Asset transactions that—"</w:t>
            </w:r>
          </w:p>
        </w:tc>
        <w:tc>
          <w:tcPr>
            <w:tcW w:type="dxa" w:w="2160"/>
          </w:tcPr>
          <w:p>
            <w:r>
              <w:t>Technology &amp; Information / Part I.B.3(i) / Rule I.B.3(i) / p7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"procedures establishing adequate authentication checks when a change to a client’s account information or contact details is requested;"</w:t>
            </w:r>
          </w:p>
        </w:tc>
        <w:tc>
          <w:tcPr>
            <w:tcW w:type="dxa" w:w="2160"/>
          </w:tcPr>
          <w:p>
            <w:r>
              <w:t>Technology &amp; Information / Part I.B.3(k) / Rule I.B.3(k) / p7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"Withdrawal control standard : To limit potential losses from compromised accounts through structured withdrawal controls, VASPs are expected to implement comprehensive withdrawal controls, including— a. tiered withdrawal limits; b."</w:t>
            </w:r>
          </w:p>
        </w:tc>
        <w:tc>
          <w:tcPr>
            <w:tcW w:type="dxa" w:w="2160"/>
          </w:tcPr>
          <w:p>
            <w:r>
              <w:t>Technology &amp; Information / Schedule 1 D.2 / Guidance D.2 / p27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"Client assets: VASPs should ensure that client assets are promptly and properly accounted for, and adequately safeguarded."</w:t>
            </w:r>
          </w:p>
        </w:tc>
        <w:tc>
          <w:tcPr>
            <w:tcW w:type="dxa" w:w="2160"/>
          </w:tcPr>
          <w:p>
            <w:r>
              <w:t>Compliance &amp; Risk / Part I.A.4 / Rule I.A.4 / p6</w:t>
            </w:r>
          </w:p>
        </w:tc>
        <w:tc>
          <w:tcPr>
            <w:tcW w:type="dxa" w:w="2160"/>
          </w:tcPr>
          <w:p>
            <w:r>
              <w:t>提现可得性保障：控制要求（见英文原文）。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提现可得性保障：相关活动必须形成可审计记录。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提现可得性保障：相关证据与记录至少保留八(8)年。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提现可得性保障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提现可得性保障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提现可得性保障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提现可得性保障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提现可得性保障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F-AUD-023-001 — 提现可得性保障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提现可得性保障]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F-AUD-023-002 — 提现可得性保障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F-AUD-023-003 — 提现可得性保障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提现可得性保障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提现可得性保障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提现可得性保障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提现可得性保障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提现可得性保障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提现可得性保障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提现可得性保障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