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CAP-024_Audit_Compliance_Guide_v2</w:t>
      </w:r>
    </w:p>
    <w:p>
      <w:pPr>
        <w:jc w:val="center"/>
      </w:pPr>
      <w:r>
        <w:t>资本充足（Paid-Up Capital）监控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CAP-024</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Company Part VI.B; Company Part VI.F; Compliance &amp; Risk Part I.H</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CAP-024（资本充足（Paid-Up Capital）监控）在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shall, at all times, hold and maintain paid-up capital in the following amounts ("Paid-Up Capital")— VA Activity Paid-Up Capital Requirement Advisory Services AED 100,000. Broker-Dealer Services Broker-Dealer Services using a VASP Licensed by VARA to..."</w:t>
            </w:r>
          </w:p>
        </w:tc>
        <w:tc>
          <w:tcPr>
            <w:tcW w:type="dxa" w:w="2160"/>
          </w:tcPr>
          <w:p>
            <w:r>
              <w:t>Company / Part VI.B.1 / Rule VI.B.1 / p44</w:t>
            </w:r>
          </w:p>
        </w:tc>
        <w:tc>
          <w:tcPr>
            <w:tcW w:type="dxa" w:w="2160"/>
          </w:tcPr>
          <w:p>
            <w:r>
              <w:t>资本充足（Paid-Up Capital）监控：控制要求（见英文原文）。</w:t>
            </w:r>
          </w:p>
        </w:tc>
      </w:tr>
      <w:tr>
        <w:tc>
          <w:tcPr>
            <w:tcW w:type="dxa" w:w="2160"/>
          </w:tcPr>
          <w:p>
            <w:r>
              <w:t>C2</w:t>
            </w:r>
          </w:p>
        </w:tc>
        <w:tc>
          <w:tcPr>
            <w:tcW w:type="dxa" w:w="2160"/>
          </w:tcPr>
          <w:p>
            <w:r>
              <w:t>"Where a VASP is Licensed by VARA to carry out more than one VA Activity, the VASP must hold the amount of Paid-Up Capital specified in Rule VI.B.1 of this Company Rulebook for each VA Activity for which the VASP is Licensed. In such instances, the VASP shall..."</w:t>
            </w:r>
          </w:p>
        </w:tc>
        <w:tc>
          <w:tcPr>
            <w:tcW w:type="dxa" w:w="2160"/>
          </w:tcPr>
          <w:p>
            <w:r>
              <w:t>Company / Part VI.B.2 / Rule VI.B.2 / p45</w:t>
            </w:r>
          </w:p>
        </w:tc>
        <w:tc>
          <w:tcPr>
            <w:tcW w:type="dxa" w:w="2160"/>
          </w:tcPr>
          <w:p>
            <w:r>
              <w:t>资本充足（Paid-Up Capital）监控：控制要求（见英文原文）。</w:t>
            </w:r>
          </w:p>
        </w:tc>
      </w:tr>
      <w:tr>
        <w:tc>
          <w:tcPr>
            <w:tcW w:type="dxa" w:w="2160"/>
          </w:tcPr>
          <w:p>
            <w:r>
              <w:t>C3</w:t>
            </w:r>
          </w:p>
        </w:tc>
        <w:tc>
          <w:tcPr>
            <w:tcW w:type="dxa" w:w="2160"/>
          </w:tcPr>
          <w:p>
            <w:r>
              <w:t>"Paid-Up Capital shall, at all times, be held and maintained in— a. a trust account with a licensed bank in the UAE with VARA stated as the beneficiary; b."</w:t>
            </w:r>
          </w:p>
        </w:tc>
        <w:tc>
          <w:tcPr>
            <w:tcW w:type="dxa" w:w="2160"/>
          </w:tcPr>
          <w:p>
            <w:r>
              <w:t>Company / Part VI.B.3 / Rule VI.B.3 / p45</w:t>
            </w:r>
          </w:p>
        </w:tc>
        <w:tc>
          <w:tcPr>
            <w:tcW w:type="dxa" w:w="2160"/>
          </w:tcPr>
          <w:p>
            <w:r>
              <w:t>资本充足（Paid-Up Capital）监控：控制要求（见英文原文）。</w:t>
            </w:r>
          </w:p>
        </w:tc>
      </w:tr>
      <w:tr>
        <w:tc>
          <w:tcPr>
            <w:tcW w:type="dxa" w:w="2160"/>
          </w:tcPr>
          <w:p>
            <w:r>
              <w:t>C4</w:t>
            </w:r>
          </w:p>
        </w:tc>
        <w:tc>
          <w:tcPr>
            <w:tcW w:type="dxa" w:w="2160"/>
          </w:tcPr>
          <w:p>
            <w:r>
              <w:t>"VASPs shall notify VARA immediately if, at any time, it is unable to maintain or fails to meet the Paid-Up Capital, Net Liquid Assets , Insurance or Reserve Assets requirements above and such notification shall include details of— a. all deficit amounts; b."</w:t>
            </w:r>
          </w:p>
        </w:tc>
        <w:tc>
          <w:tcPr>
            <w:tcW w:type="dxa" w:w="2160"/>
          </w:tcPr>
          <w:p>
            <w:r>
              <w:t>Company / Part VI.F.1 / Rule VI.F.1 / p47</w:t>
            </w:r>
          </w:p>
        </w:tc>
        <w:tc>
          <w:tcPr>
            <w:tcW w:type="dxa" w:w="2160"/>
          </w:tcPr>
          <w:p>
            <w:r>
              <w:t>资本充足（Paid-Up Capital）监控：禁止事项（见英文原文）。</w:t>
            </w:r>
          </w:p>
        </w:tc>
      </w:tr>
      <w:tr>
        <w:tc>
          <w:tcPr>
            <w:tcW w:type="dxa" w:w="2160"/>
          </w:tcPr>
          <w:p>
            <w:r>
              <w:t>C5</w:t>
            </w:r>
          </w:p>
        </w:tc>
        <w:tc>
          <w:tcPr>
            <w:tcW w:type="dxa" w:w="2160"/>
          </w:tcPr>
          <w:p>
            <w:r>
              <w:t>"VASPs shall provide updates to VARA on a daily basis in respect of any notification under Rule VI.F.1 of this Company Rulebook above, unless otherwise directed by VARA or until the VASP confirms and VARA is satisfied that it has rectified all failures and is..."</w:t>
            </w:r>
          </w:p>
        </w:tc>
        <w:tc>
          <w:tcPr>
            <w:tcW w:type="dxa" w:w="2160"/>
          </w:tcPr>
          <w:p>
            <w:r>
              <w:t>Company / Part VI.F.2 / Rule VI.F.2 / p47</w:t>
            </w:r>
          </w:p>
        </w:tc>
        <w:tc>
          <w:tcPr>
            <w:tcW w:type="dxa" w:w="2160"/>
          </w:tcPr>
          <w:p>
            <w:r>
              <w:t>资本充足（Paid-Up Capital）监控：控制要求（关键时效/频率：daily）。</w:t>
            </w:r>
          </w:p>
        </w:tc>
      </w:tr>
      <w:tr>
        <w:tc>
          <w:tcPr>
            <w:tcW w:type="dxa" w:w="2160"/>
          </w:tcPr>
          <w:p>
            <w:r>
              <w:t>C6</w:t>
            </w:r>
          </w:p>
        </w:tc>
        <w:tc>
          <w:tcPr>
            <w:tcW w:type="dxa" w:w="2160"/>
          </w:tcPr>
          <w:p>
            <w:r>
              <w:t>"Notwithstanding all other requirements in the Compliance and Risk Management Rulebook, VASPs shall establish and maintain clear procedures to monitor and identify all sources of risks or potential risks that may impact its operation and shall consider the..."</w:t>
            </w:r>
          </w:p>
        </w:tc>
        <w:tc>
          <w:tcPr>
            <w:tcW w:type="dxa" w:w="2160"/>
          </w:tcPr>
          <w:p>
            <w:r>
              <w:t>Company / Part VI.F.3 / Rule VI.F.3 / p47</w:t>
            </w:r>
          </w:p>
        </w:tc>
        <w:tc>
          <w:tcPr>
            <w:tcW w:type="dxa" w:w="2160"/>
          </w:tcPr>
          <w:p>
            <w:r>
              <w:t>资本充足（Paid-Up Capital）监控：控制要求（见英文原文）。</w:t>
            </w:r>
          </w:p>
        </w:tc>
      </w:tr>
      <w:tr>
        <w:tc>
          <w:tcPr>
            <w:tcW w:type="dxa" w:w="2160"/>
          </w:tcPr>
          <w:p>
            <w:r>
              <w:t>C7</w:t>
            </w:r>
          </w:p>
        </w:tc>
        <w:tc>
          <w:tcPr>
            <w:tcW w:type="dxa" w:w="2160"/>
          </w:tcPr>
          <w:p>
            <w:r>
              <w:t>"On a monthly basis, VASPs shall as a minimum submit to VARA the following information— a. their balance sheet and a list of all off-balance sheet items; b."</w:t>
            </w:r>
          </w:p>
        </w:tc>
        <w:tc>
          <w:tcPr>
            <w:tcW w:type="dxa" w:w="2160"/>
          </w:tcPr>
          <w:p>
            <w:r>
              <w:t>Compliance &amp; Risk / Part I.H.1 / Rule I.H.1 / p18</w:t>
            </w:r>
          </w:p>
        </w:tc>
        <w:tc>
          <w:tcPr>
            <w:tcW w:type="dxa" w:w="2160"/>
          </w:tcPr>
          <w:p>
            <w:r>
              <w:t>资本充足（Paid-Up Capital）监控：控制要求（关键时效/频率：monthly）。</w:t>
            </w:r>
          </w:p>
        </w:tc>
      </w:tr>
      <w:tr>
        <w:tc>
          <w:tcPr>
            <w:tcW w:type="dxa" w:w="2160"/>
          </w:tcPr>
          <w:p>
            <w:r>
              <w:t>C8</w:t>
            </w:r>
          </w:p>
        </w:tc>
        <w:tc>
          <w:tcPr>
            <w:tcW w:type="dxa" w:w="2160"/>
          </w:tcPr>
          <w:p>
            <w:r>
              <w:t>"a statement demonstrating compliance with any financial requirements established by VARA including but not limited to Reserve Assets;"</w:t>
            </w:r>
          </w:p>
        </w:tc>
        <w:tc>
          <w:tcPr>
            <w:tcW w:type="dxa" w:w="2160"/>
          </w:tcPr>
          <w:p>
            <w:r>
              <w:t>Compliance &amp; Risk / Part I.H.2(b) / Rule I.H.2(b) / p18</w:t>
            </w:r>
          </w:p>
        </w:tc>
        <w:tc>
          <w:tcPr>
            <w:tcW w:type="dxa" w:w="2160"/>
          </w:tcPr>
          <w:p>
            <w:r>
              <w:t>资本充足（Paid-Up Capital）监控：控制要求（见英文原文）。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资本充足（Paid-Up Capital）监控：相关活动必须形成可审计记录。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资本充足（Paid-Up Capital）监控：相关证据与记录至少保留八(8)年。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资本充足（Paid-Up Capital）监控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资本充足（Paid-Up Capital）监控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资本充足（Paid-Up Capital）监控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资本充足（Paid-Up Capital）监控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资本充足（Paid-Up Capital）监控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F-AUD-024-001 — 资本充足（Paid-Up Capital）监控 主流程</w:t>
      </w:r>
    </w:p>
    <w:p>
      <w:r>
        <w:t>requirement_refs: C1/C2/C3/C4</w:t>
      </w:r>
    </w:p>
    <w:p>
      <w:r>
        <w:t>ASCII 流程图：</w:t>
      </w:r>
    </w:p>
    <w:p>
      <w:r>
        <w:t>[Start] -&gt; [Policy Approved] -&gt; [Execute 资本充足（Paid-Up Capital）监控]</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F-AUD-024-002 — 资本充足（Paid-Up Capital）监控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F-AUD-024-003 — 资本充足（Paid-Up Capital）监控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资本充足（Paid-Up Capital）监控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资本充足（Paid-Up Capital）监控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资本充足（Paid-Up Capital）监控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资本充足（Paid-Up Capital）监控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资本充足（Paid-Up Capital）监控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daily, monthly）</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daily, monthly）</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daily, monthly）</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daily, monthly）</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资本充足（Paid-Up Capital）监控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资本充足（Paid-Up Capital）监控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