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CAP-025_Audit_Compliance_Guide_v2</w:t>
      </w:r>
    </w:p>
    <w:p>
      <w:pPr>
        <w:jc w:val="center"/>
      </w:pPr>
      <w:r>
        <w:t>净流动资产（NLA）监控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CAP-025</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Company Part VI.C; Market Conduct Part VII.A; Company Part VI.F; Compliance &amp; Risk Part I.D</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CAP-025（净流动资产（NLA）监控）在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shall at all times hold and maintain sufficient current liquid assets such that their surplus over current liabilities is worth at least 1.2 times their monthly operating expenses ("Net Liquid Assets") as represented by the following calculation— Net..."</w:t>
            </w:r>
          </w:p>
        </w:tc>
        <w:tc>
          <w:tcPr>
            <w:tcW w:type="dxa" w:w="2160"/>
          </w:tcPr>
          <w:p>
            <w:r>
              <w:t>Company / Part VI.C.1 / Rule VI.C.1 / p45</w:t>
            </w:r>
          </w:p>
        </w:tc>
        <w:tc>
          <w:tcPr>
            <w:tcW w:type="dxa" w:w="2160"/>
          </w:tcPr>
          <w:p>
            <w:r>
              <w:t>净流动资产（NLA）监控：控制要求（关键时效/频率：monthly）。</w:t>
            </w:r>
          </w:p>
        </w:tc>
      </w:tr>
      <w:tr>
        <w:tc>
          <w:tcPr>
            <w:tcW w:type="dxa" w:w="2160"/>
          </w:tcPr>
          <w:p>
            <w:r>
              <w:t>C2</w:t>
            </w:r>
          </w:p>
        </w:tc>
        <w:tc>
          <w:tcPr>
            <w:tcW w:type="dxa" w:w="2160"/>
          </w:tcPr>
          <w:p>
            <w:r>
              <w:t>"When calculating their Net Liquid Assets under Rule VI.C.1 of this Company Rulebook, VASPs must include such portion of their Operational Exposure to Virtual Assets (as agreed with VARA"</w:t>
            </w:r>
          </w:p>
        </w:tc>
        <w:tc>
          <w:tcPr>
            <w:tcW w:type="dxa" w:w="2160"/>
          </w:tcPr>
          <w:p>
            <w:r>
              <w:t>Company / Part VI.C.2 / Rule VI.C.2 / p45</w:t>
            </w:r>
          </w:p>
        </w:tc>
        <w:tc>
          <w:tcPr>
            <w:tcW w:type="dxa" w:w="2160"/>
          </w:tcPr>
          <w:p>
            <w:r>
              <w:t>净流动资产（NLA）监控：控制要求（见英文原文）。</w:t>
            </w:r>
          </w:p>
        </w:tc>
      </w:tr>
      <w:tr>
        <w:tc>
          <w:tcPr>
            <w:tcW w:type="dxa" w:w="2160"/>
          </w:tcPr>
          <w:p>
            <w:r>
              <w:t>C3</w:t>
            </w:r>
          </w:p>
        </w:tc>
        <w:tc>
          <w:tcPr>
            <w:tcW w:type="dxa" w:w="2160"/>
          </w:tcPr>
          <w:p>
            <w:r>
              <w:t>"Net Liquid Assets shall be reconciled on a daily basis and reported to VARA monthly."</w:t>
            </w:r>
          </w:p>
        </w:tc>
        <w:tc>
          <w:tcPr>
            <w:tcW w:type="dxa" w:w="2160"/>
          </w:tcPr>
          <w:p>
            <w:r>
              <w:t>Company / Part VI.C.3 / Rule VI.C.3 / p46</w:t>
            </w:r>
          </w:p>
        </w:tc>
        <w:tc>
          <w:tcPr>
            <w:tcW w:type="dxa" w:w="2160"/>
          </w:tcPr>
          <w:p>
            <w:r>
              <w:t>净流动资产（NLA）监控：控制要求（关键时效/频率：daily, monthly）。</w:t>
            </w:r>
          </w:p>
        </w:tc>
      </w:tr>
      <w:tr>
        <w:tc>
          <w:tcPr>
            <w:tcW w:type="dxa" w:w="2160"/>
          </w:tcPr>
          <w:p>
            <w:r>
              <w:t>C4</w:t>
            </w:r>
          </w:p>
        </w:tc>
        <w:tc>
          <w:tcPr>
            <w:tcW w:type="dxa" w:w="2160"/>
          </w:tcPr>
          <w:p>
            <w:r>
              <w:t>"Net Liquid Assets may be maintained in the following assets only— a. cash and cash equivalents, as defined in internationally recognised accounting standards; and b."</w:t>
            </w:r>
          </w:p>
        </w:tc>
        <w:tc>
          <w:tcPr>
            <w:tcW w:type="dxa" w:w="2160"/>
          </w:tcPr>
          <w:p>
            <w:r>
              <w:t>Company / Part VI.C.4 / Rule VI.C.4 / p46</w:t>
            </w:r>
          </w:p>
        </w:tc>
        <w:tc>
          <w:tcPr>
            <w:tcW w:type="dxa" w:w="2160"/>
          </w:tcPr>
          <w:p>
            <w:r>
              <w:t>净流动资产（NLA）监控：控制要求（见英文原文）。</w:t>
            </w:r>
          </w:p>
        </w:tc>
      </w:tr>
      <w:tr>
        <w:tc>
          <w:tcPr>
            <w:tcW w:type="dxa" w:w="2160"/>
          </w:tcPr>
          <w:p>
            <w:r>
              <w:t>C5</w:t>
            </w:r>
          </w:p>
        </w:tc>
        <w:tc>
          <w:tcPr>
            <w:tcW w:type="dxa" w:w="2160"/>
          </w:tcPr>
          <w:p>
            <w:r>
              <w:t>"The general prohibition in Rule VII.A.1 of this Market Conduct Rulebook above does not prevent VASPs from entering into transactions in Virtual Assets or any other assets for the purpose of prudent management of Net Liquid Assets required to be held by the..."</w:t>
            </w:r>
          </w:p>
        </w:tc>
        <w:tc>
          <w:tcPr>
            <w:tcW w:type="dxa" w:w="2160"/>
          </w:tcPr>
          <w:p>
            <w:r>
              <w:t>Market Conduct / Part VII.A.2 / Rule VII.A.2 / p17</w:t>
            </w:r>
          </w:p>
        </w:tc>
        <w:tc>
          <w:tcPr>
            <w:tcW w:type="dxa" w:w="2160"/>
          </w:tcPr>
          <w:p>
            <w:r>
              <w:t>净流动资产（NLA）监控：禁止事项（见英文原文）。</w:t>
            </w:r>
          </w:p>
        </w:tc>
      </w:tr>
      <w:tr>
        <w:tc>
          <w:tcPr>
            <w:tcW w:type="dxa" w:w="2160"/>
          </w:tcPr>
          <w:p>
            <w:r>
              <w:t>C6</w:t>
            </w:r>
          </w:p>
        </w:tc>
        <w:tc>
          <w:tcPr>
            <w:tcW w:type="dxa" w:w="2160"/>
          </w:tcPr>
          <w:p>
            <w:r>
              <w:t>"VASPs shall notify VARA immediately if, at any time, it is unable to maintain or fails to meet the Paid-Up Capital, Net Liquid Assets , Insurance or Reserve Assets requirements above and such notification shall include details of— a. all deficit amounts; b."</w:t>
            </w:r>
          </w:p>
        </w:tc>
        <w:tc>
          <w:tcPr>
            <w:tcW w:type="dxa" w:w="2160"/>
          </w:tcPr>
          <w:p>
            <w:r>
              <w:t>Company / Part VI.F.1 / Rule VI.F.1 / p47</w:t>
            </w:r>
          </w:p>
        </w:tc>
        <w:tc>
          <w:tcPr>
            <w:tcW w:type="dxa" w:w="2160"/>
          </w:tcPr>
          <w:p>
            <w:r>
              <w:t>净流动资产（NLA）监控：禁止事项（见英文原文）。</w:t>
            </w:r>
          </w:p>
        </w:tc>
      </w:tr>
      <w:tr>
        <w:tc>
          <w:tcPr>
            <w:tcW w:type="dxa" w:w="2160"/>
          </w:tcPr>
          <w:p>
            <w:r>
              <w:t>C7</w:t>
            </w:r>
          </w:p>
        </w:tc>
        <w:tc>
          <w:tcPr>
            <w:tcW w:type="dxa" w:w="2160"/>
          </w:tcPr>
          <w:p>
            <w:r>
              <w:t>"VASPs shall provide updates to VARA on a daily basis in respect of any notification under Rule VI.F.1 of this Company Rulebook above, unless otherwise directed by VARA or until the VASP confirms and VARA is satisfied that it has rectified all failures and is..."</w:t>
            </w:r>
          </w:p>
        </w:tc>
        <w:tc>
          <w:tcPr>
            <w:tcW w:type="dxa" w:w="2160"/>
          </w:tcPr>
          <w:p>
            <w:r>
              <w:t>Company / Part VI.F.2 / Rule VI.F.2 / p47</w:t>
            </w:r>
          </w:p>
        </w:tc>
        <w:tc>
          <w:tcPr>
            <w:tcW w:type="dxa" w:w="2160"/>
          </w:tcPr>
          <w:p>
            <w:r>
              <w:t>净流动资产（NLA）监控：控制要求（关键时效/频率：daily）。</w:t>
            </w:r>
          </w:p>
        </w:tc>
      </w:tr>
      <w:tr>
        <w:tc>
          <w:tcPr>
            <w:tcW w:type="dxa" w:w="2160"/>
          </w:tcPr>
          <w:p>
            <w:r>
              <w:t>C8</w:t>
            </w:r>
          </w:p>
        </w:tc>
        <w:tc>
          <w:tcPr>
            <w:tcW w:type="dxa" w:w="2160"/>
          </w:tcPr>
          <w:p>
            <w:r>
              <w:t>"The head of the risk function of a VASP shall submit risk exposure reports to the Board which identify and report all actual or potential risks. Such reports must be submitted to the Board at least once every quarter, or more frequently if required for the..."</w:t>
            </w:r>
          </w:p>
        </w:tc>
        <w:tc>
          <w:tcPr>
            <w:tcW w:type="dxa" w:w="2160"/>
          </w:tcPr>
          <w:p>
            <w:r>
              <w:t>Compliance &amp; Risk / Part I.D.4 / Rule I.D.4 / p10</w:t>
            </w:r>
          </w:p>
        </w:tc>
        <w:tc>
          <w:tcPr>
            <w:tcW w:type="dxa" w:w="2160"/>
          </w:tcPr>
          <w:p>
            <w:r>
              <w:t>净流动资产（NLA）监控：控制要求（见英文原文）。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净流动资产（NLA）监控：相关活动必须形成可审计记录。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净流动资产（NLA）监控：相关证据与记录至少保留八(8)年。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净流动资产（NLA）监控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净流动资产（NLA）监控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净流动资产（NLA）监控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净流动资产（NLA）监控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净流动资产（NLA）监控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F-AUD-025-001 — 净流动资产（NLA）监控 主流程</w:t>
      </w:r>
    </w:p>
    <w:p>
      <w:r>
        <w:t>requirement_refs: C1/C2/C3/C4</w:t>
      </w:r>
    </w:p>
    <w:p>
      <w:r>
        <w:t>ASCII 流程图：</w:t>
      </w:r>
    </w:p>
    <w:p>
      <w:r>
        <w:t>[Start] -&gt; [Policy Approved] -&gt; [Execute 净流动资产（NLA）监控]</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F-AUD-025-002 — 净流动资产（NLA）监控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F-AUD-025-003 — 净流动资产（NLA）监控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净流动资产（NLA）监控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净流动资产（NLA）监控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净流动资产（NLA）监控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净流动资产（NLA）监控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净流动资产（NLA）监控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按事件/每日（按条款）（例如 daily, monthly）</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按触发（例如 daily, monthly）</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按条款（可能每日/每月/至少年度）（例如 daily, monthly）</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按触发/按周期（例如 daily, monthly）</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净流动资产（NLA）监控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净流动资产（NLA）监控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