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CAP-026_Audit_Compliance_Guide_v2</w:t>
      </w:r>
    </w:p>
    <w:p>
      <w:pPr>
        <w:jc w:val="center"/>
      </w:pPr>
      <w:r>
        <w:t>客户资产保险管理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CAP-026</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Company Part VI.D; Company Part VI.F</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CAP-026（客户资产保险管理）在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"professional indemnity insurance;"</w:t>
            </w:r>
          </w:p>
        </w:tc>
        <w:tc>
          <w:tcPr>
            <w:tcW w:type="dxa" w:w="2160"/>
          </w:tcPr>
          <w:p>
            <w:r>
              <w:t>Company / Part VI.D.1(a) / Rule VI.D.1(a) / p46</w:t>
            </w:r>
          </w:p>
        </w:tc>
        <w:tc>
          <w:tcPr>
            <w:tcW w:type="dxa" w:w="2160"/>
          </w:tcPr>
          <w:p>
            <w:r>
              <w:t>客户资产保险管理：控制要求（见英文原文）。</w:t>
            </w:r>
          </w:p>
        </w:tc>
      </w:tr>
      <w:tr>
        <w:tc>
          <w:tcPr>
            <w:tcW w:type="dxa" w:w="2160"/>
          </w:tcPr>
          <w:p>
            <w:r>
              <w:t>C2</w:t>
            </w:r>
          </w:p>
        </w:tc>
        <w:tc>
          <w:tcPr>
            <w:tcW w:type="dxa" w:w="2160"/>
          </w:tcPr>
          <w:p>
            <w:r>
              <w:t>"directors’ and officers’ insurance;"</w:t>
            </w:r>
          </w:p>
        </w:tc>
        <w:tc>
          <w:tcPr>
            <w:tcW w:type="dxa" w:w="2160"/>
          </w:tcPr>
          <w:p>
            <w:r>
              <w:t>Company / Part VI.D.1(b) / Rule VI.D.1(b) / p46</w:t>
            </w:r>
          </w:p>
        </w:tc>
        <w:tc>
          <w:tcPr>
            <w:tcW w:type="dxa" w:w="2160"/>
          </w:tcPr>
          <w:p>
            <w:r>
              <w:t>客户资产保险管理：控制要求（见英文原文）。</w:t>
            </w:r>
          </w:p>
        </w:tc>
      </w:tr>
      <w:tr>
        <w:tc>
          <w:tcPr>
            <w:tcW w:type="dxa" w:w="2160"/>
          </w:tcPr>
          <w:p>
            <w:r>
              <w:t>C3</w:t>
            </w:r>
          </w:p>
        </w:tc>
        <w:tc>
          <w:tcPr>
            <w:tcW w:type="dxa" w:w="2160"/>
          </w:tcPr>
          <w:p>
            <w:r>
              <w:t>"commercial crime insurance or similar types of insurance for all Virtual Assets stored in hot wallets; and"</w:t>
            </w:r>
          </w:p>
        </w:tc>
        <w:tc>
          <w:tcPr>
            <w:tcW w:type="dxa" w:w="2160"/>
          </w:tcPr>
          <w:p>
            <w:r>
              <w:t>Company / Part VI.D.1(c) / Rule VI.D.1(c) / p46</w:t>
            </w:r>
          </w:p>
        </w:tc>
        <w:tc>
          <w:tcPr>
            <w:tcW w:type="dxa" w:w="2160"/>
          </w:tcPr>
          <w:p>
            <w:r>
              <w:t>客户资产保险管理：控制要求（见英文原文）。</w:t>
            </w:r>
          </w:p>
        </w:tc>
      </w:tr>
      <w:tr>
        <w:tc>
          <w:tcPr>
            <w:tcW w:type="dxa" w:w="2160"/>
          </w:tcPr>
          <w:p>
            <w:r>
              <w:t>C4</w:t>
            </w:r>
          </w:p>
        </w:tc>
        <w:tc>
          <w:tcPr>
            <w:tcW w:type="dxa" w:w="2160"/>
          </w:tcPr>
          <w:p>
            <w:r>
              <w:t>"any other type of insurance as assessed by VARA to be appropriate for a VASP’s business and VA Activities and stipulated in the conditions to its Licence."</w:t>
            </w:r>
          </w:p>
        </w:tc>
        <w:tc>
          <w:tcPr>
            <w:tcW w:type="dxa" w:w="2160"/>
          </w:tcPr>
          <w:p>
            <w:r>
              <w:t>Company / Part VI.D.1(d) / Rule VI.D.1(d) / p46</w:t>
            </w:r>
          </w:p>
        </w:tc>
        <w:tc>
          <w:tcPr>
            <w:tcW w:type="dxa" w:w="2160"/>
          </w:tcPr>
          <w:p>
            <w:r>
              <w:t>客户资产保险管理：控制要求（见英文原文）。</w:t>
            </w:r>
          </w:p>
        </w:tc>
      </w:tr>
      <w:tr>
        <w:tc>
          <w:tcPr>
            <w:tcW w:type="dxa" w:w="2160"/>
          </w:tcPr>
          <w:p>
            <w:r>
              <w:t>C5</w:t>
            </w:r>
          </w:p>
        </w:tc>
        <w:tc>
          <w:tcPr>
            <w:tcW w:type="dxa" w:w="2160"/>
          </w:tcPr>
          <w:p>
            <w:r>
              <w:t>"All Insurance must be held and maintained with a regulated insurer."</w:t>
            </w:r>
          </w:p>
        </w:tc>
        <w:tc>
          <w:tcPr>
            <w:tcW w:type="dxa" w:w="2160"/>
          </w:tcPr>
          <w:p>
            <w:r>
              <w:t>Company / Part VI.D.2 / Rule VI.D.2 / p46</w:t>
            </w:r>
          </w:p>
        </w:tc>
        <w:tc>
          <w:tcPr>
            <w:tcW w:type="dxa" w:w="2160"/>
          </w:tcPr>
          <w:p>
            <w:r>
              <w:t>客户资产保险管理：控制要求（见英文原文）。</w:t>
            </w:r>
          </w:p>
        </w:tc>
      </w:tr>
      <w:tr>
        <w:tc>
          <w:tcPr>
            <w:tcW w:type="dxa" w:w="2160"/>
          </w:tcPr>
          <w:p>
            <w:r>
              <w:t>C6</w:t>
            </w:r>
          </w:p>
        </w:tc>
        <w:tc>
          <w:tcPr>
            <w:tcW w:type="dxa" w:w="2160"/>
          </w:tcPr>
          <w:p>
            <w:r>
              <w:t>"Insurance may be held in the name of another Entity in the VASP’s Group, provided that the relevant policy— a. explicitly states the VASP as an insured party; and b."</w:t>
            </w:r>
          </w:p>
        </w:tc>
        <w:tc>
          <w:tcPr>
            <w:tcW w:type="dxa" w:w="2160"/>
          </w:tcPr>
          <w:p>
            <w:r>
              <w:t>Company / Part VI.D.3 / Rule VI.D.3 / p46</w:t>
            </w:r>
          </w:p>
        </w:tc>
        <w:tc>
          <w:tcPr>
            <w:tcW w:type="dxa" w:w="2160"/>
          </w:tcPr>
          <w:p>
            <w:r>
              <w:t>客户资产保险管理：控制要求（见英文原文）。</w:t>
            </w:r>
          </w:p>
        </w:tc>
      </w:tr>
      <w:tr>
        <w:tc>
          <w:tcPr>
            <w:tcW w:type="dxa" w:w="2160"/>
          </w:tcPr>
          <w:p>
            <w:r>
              <w:t>C7</w:t>
            </w:r>
          </w:p>
        </w:tc>
        <w:tc>
          <w:tcPr>
            <w:tcW w:type="dxa" w:w="2160"/>
          </w:tcPr>
          <w:p>
            <w:r>
              <w:t>"VARA may apply discretion during the licensing process if, for proven and demonstrated reasons the requirements in Rule VI.D.1 of this Company Rulebook cannot be met, provided that VASPs shall be required to protect against the risks that such Insurance is..."</w:t>
            </w:r>
          </w:p>
        </w:tc>
        <w:tc>
          <w:tcPr>
            <w:tcW w:type="dxa" w:w="2160"/>
          </w:tcPr>
          <w:p>
            <w:r>
              <w:t>Company / Part VI.D.4 / Rule VI.D.4 / p46</w:t>
            </w:r>
          </w:p>
        </w:tc>
        <w:tc>
          <w:tcPr>
            <w:tcW w:type="dxa" w:w="2160"/>
          </w:tcPr>
          <w:p>
            <w:r>
              <w:t>客户资产保险管理：控制要求（见英文原文）。</w:t>
            </w:r>
          </w:p>
        </w:tc>
      </w:tr>
      <w:tr>
        <w:tc>
          <w:tcPr>
            <w:tcW w:type="dxa" w:w="2160"/>
          </w:tcPr>
          <w:p>
            <w:r>
              <w:t>C8</w:t>
            </w:r>
          </w:p>
        </w:tc>
        <w:tc>
          <w:tcPr>
            <w:tcW w:type="dxa" w:w="2160"/>
          </w:tcPr>
          <w:p>
            <w:r>
              <w:t>"VASPs shall notify VARA immediately if, at any time, it is unable to maintain or fails to meet the Paid-Up Capital, Net Liquid Assets , Insurance or Reserve Assets requirements above and such notification shall include details of— a. all deficit amounts; b."</w:t>
            </w:r>
          </w:p>
        </w:tc>
        <w:tc>
          <w:tcPr>
            <w:tcW w:type="dxa" w:w="2160"/>
          </w:tcPr>
          <w:p>
            <w:r>
              <w:t>Company / Part VI.F.1 / Rule VI.F.1 / p47</w:t>
            </w:r>
          </w:p>
        </w:tc>
        <w:tc>
          <w:tcPr>
            <w:tcW w:type="dxa" w:w="2160"/>
          </w:tcPr>
          <w:p>
            <w:r>
              <w:t>客户资产保险管理：禁止事项（见英文原文）。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客户资产保险管理：相关活动必须形成可审计记录。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客户资产保险管理：相关证据与记录至少保留八(8)年。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客户资产保险管理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客户资产保险管理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客户资产保险管理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客户资产保险管理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客户资产保险管理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F-AUD-026-001 — 客户资产保险管理 主流程</w:t>
      </w:r>
    </w:p>
    <w:p>
      <w:r>
        <w:t>requirement_refs: C1/C2/C3/C4</w:t>
      </w:r>
    </w:p>
    <w:p>
      <w:r>
        <w:t>ASCII 流程图：</w:t>
      </w:r>
    </w:p>
    <w:p>
      <w:r>
        <w:t>[Start] -&gt; [Policy Approved] -&gt; [Execute 客户资产保险管理]</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F-AUD-026-002 — 客户资产保险管理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F-AUD-026-003 — 客户资产保险管理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客户资产保险管理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客户资产保险管理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客户资产保险管理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客户资产保险管理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客户资产保险管理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客户资产保险管理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客户资产保险管理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