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CAP-027_Audit_Compliance_Guide_v2</w:t>
      </w:r>
    </w:p>
    <w:p>
      <w:pPr>
        <w:jc w:val="center"/>
      </w:pPr>
      <w:r>
        <w:t>AML/CFT 交易监测规则引擎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CAP-027</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III.B; Compliance &amp; Risk Part III.C; Compliance &amp; Risk Part III.F; Technology &amp; Information Part I.F; Technology &amp; Information Schedule 1 C</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CAP-027（AML/CFT 交易监测规则引擎）在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establish adequate risk rules to screen clients, UBOs, Virtual Asset transactions and VA Wallet addresses to— a. identify potential illicit activities, potentially adverse information in higher risk situations (e.g."</w:t>
            </w:r>
          </w:p>
        </w:tc>
        <w:tc>
          <w:tcPr>
            <w:tcW w:type="dxa" w:w="2160"/>
          </w:tcPr>
          <w:p>
            <w:r>
              <w:t>Compliance &amp; Risk / Part III.B.3 / Rule III.B.3 / p25</w:t>
            </w:r>
          </w:p>
        </w:tc>
        <w:tc>
          <w:tcPr>
            <w:tcW w:type="dxa" w:w="2160"/>
          </w:tcPr>
          <w:p>
            <w:r>
              <w:t>AML/CFT 交易监测规则引擎：控制要求（见英文原文）。</w:t>
            </w:r>
          </w:p>
        </w:tc>
      </w:tr>
      <w:tr>
        <w:tc>
          <w:tcPr>
            <w:tcW w:type="dxa" w:w="2160"/>
          </w:tcPr>
          <w:p>
            <w:r>
              <w:t>C2</w:t>
            </w:r>
          </w:p>
        </w:tc>
        <w:tc>
          <w:tcPr>
            <w:tcW w:type="dxa" w:w="2160"/>
          </w:tcPr>
          <w:p>
            <w:r>
              <w:t>"VASPs should have effective AML/CFT controls and systems in place which can adequately manage the AML/CFT risks relevant to their VA Activities, including the use of distributed ledger analytics tools, as well as other investigative tools or capabilities to..."</w:t>
            </w:r>
          </w:p>
        </w:tc>
        <w:tc>
          <w:tcPr>
            <w:tcW w:type="dxa" w:w="2160"/>
          </w:tcPr>
          <w:p>
            <w:r>
              <w:t>Compliance &amp; Risk / Part III.C.1 / Rule III.C.1 / p26</w:t>
            </w:r>
          </w:p>
        </w:tc>
        <w:tc>
          <w:tcPr>
            <w:tcW w:type="dxa" w:w="2160"/>
          </w:tcPr>
          <w:p>
            <w:r>
              <w:t>AML/CFT 交易监测规则引擎：控制要求（见英文原文）。</w:t>
            </w:r>
          </w:p>
        </w:tc>
      </w:tr>
      <w:tr>
        <w:tc>
          <w:tcPr>
            <w:tcW w:type="dxa" w:w="2160"/>
          </w:tcPr>
          <w:p>
            <w:r>
              <w:t>C3</w:t>
            </w:r>
          </w:p>
        </w:tc>
        <w:tc>
          <w:tcPr>
            <w:tcW w:type="dxa" w:w="2160"/>
          </w:tcPr>
          <w:p>
            <w:r>
              <w:t>"VASPs shall, if applicable, implement internal controls to address the FATF Report Virtual Assets Red Flags Indicators of Money Laundering and Terrorist Financing (September 2020) (and any subsequent versions of, or supplements to, this publication) when..."</w:t>
            </w:r>
          </w:p>
        </w:tc>
        <w:tc>
          <w:tcPr>
            <w:tcW w:type="dxa" w:w="2160"/>
          </w:tcPr>
          <w:p>
            <w:r>
              <w:t>Compliance &amp; Risk / Part III.C.4 / Rule III.C.4 / p26</w:t>
            </w:r>
          </w:p>
        </w:tc>
        <w:tc>
          <w:tcPr>
            <w:tcW w:type="dxa" w:w="2160"/>
          </w:tcPr>
          <w:p>
            <w:r>
              <w:t>AML/CFT 交易监测规则引擎：控制要求（见英文原文）。</w:t>
            </w:r>
          </w:p>
        </w:tc>
      </w:tr>
      <w:tr>
        <w:tc>
          <w:tcPr>
            <w:tcW w:type="dxa" w:w="2160"/>
          </w:tcPr>
          <w:p>
            <w:r>
              <w:t>C4</w:t>
            </w:r>
          </w:p>
        </w:tc>
        <w:tc>
          <w:tcPr>
            <w:tcW w:type="dxa" w:w="2160"/>
          </w:tcPr>
          <w:p>
            <w:r>
              <w:t>"VASPs shall employ methods which are appropriate to their particular circumstances and VA Activities, to continuously monitor business relationships with clients to identify any Suspicious Transactions and where an AML-CFT Report is required to be made. Such..."</w:t>
            </w:r>
          </w:p>
        </w:tc>
        <w:tc>
          <w:tcPr>
            <w:tcW w:type="dxa" w:w="2160"/>
          </w:tcPr>
          <w:p>
            <w:r>
              <w:t>Compliance &amp; Risk / Part III.F.1 / Rule III.F.1 / p31</w:t>
            </w:r>
          </w:p>
        </w:tc>
        <w:tc>
          <w:tcPr>
            <w:tcW w:type="dxa" w:w="2160"/>
          </w:tcPr>
          <w:p>
            <w:r>
              <w:t>AML/CFT 交易监测规则引擎：控制要求（见英文原文）。</w:t>
            </w:r>
          </w:p>
        </w:tc>
      </w:tr>
      <w:tr>
        <w:tc>
          <w:tcPr>
            <w:tcW w:type="dxa" w:w="2160"/>
          </w:tcPr>
          <w:p>
            <w:r>
              <w:t>C5</w:t>
            </w:r>
          </w:p>
        </w:tc>
        <w:tc>
          <w:tcPr>
            <w:tcW w:type="dxa" w:w="2160"/>
          </w:tcPr>
          <w:p>
            <w:r>
              <w:t>"VASPs shall put in place and regularly update indicators that can be used to identify possible Suspicious Transactions and where an AML-CFT Report is required to be made."</w:t>
            </w:r>
          </w:p>
        </w:tc>
        <w:tc>
          <w:tcPr>
            <w:tcW w:type="dxa" w:w="2160"/>
          </w:tcPr>
          <w:p>
            <w:r>
              <w:t>Compliance &amp; Risk / Part III.F.2 / Rule III.F.2 / p32</w:t>
            </w:r>
          </w:p>
        </w:tc>
        <w:tc>
          <w:tcPr>
            <w:tcW w:type="dxa" w:w="2160"/>
          </w:tcPr>
          <w:p>
            <w:r>
              <w:t>AML/CFT 交易监测规则引擎：控制要求（见英文原文）。</w:t>
            </w:r>
          </w:p>
        </w:tc>
      </w:tr>
      <w:tr>
        <w:tc>
          <w:tcPr>
            <w:tcW w:type="dxa" w:w="2160"/>
          </w:tcPr>
          <w:p>
            <w:r>
              <w:t>C6</w:t>
            </w:r>
          </w:p>
        </w:tc>
        <w:tc>
          <w:tcPr>
            <w:tcW w:type="dxa" w:w="2160"/>
          </w:tcPr>
          <w:p>
            <w:r>
              <w:t>"VASPs shall continue monitoring (on a near real time basis where appropriate) any transactions which are the subject of an AML-CFT Report."</w:t>
            </w:r>
          </w:p>
        </w:tc>
        <w:tc>
          <w:tcPr>
            <w:tcW w:type="dxa" w:w="2160"/>
          </w:tcPr>
          <w:p>
            <w:r>
              <w:t>Compliance &amp; Risk / Part III.F.5 / Rule III.F.5 / p32</w:t>
            </w:r>
          </w:p>
        </w:tc>
        <w:tc>
          <w:tcPr>
            <w:tcW w:type="dxa" w:w="2160"/>
          </w:tcPr>
          <w:p>
            <w:r>
              <w:t>AML/CFT 交易监测规则引擎：控制要求（见英文原文）。</w:t>
            </w:r>
          </w:p>
        </w:tc>
      </w:tr>
      <w:tr>
        <w:tc>
          <w:tcPr>
            <w:tcW w:type="dxa" w:w="2160"/>
          </w:tcPr>
          <w:p>
            <w:r>
              <w:t>C7</w:t>
            </w:r>
          </w:p>
        </w:tc>
        <w:tc>
          <w:tcPr>
            <w:tcW w:type="dxa" w:w="2160"/>
          </w:tcPr>
          <w:p>
            <w:r>
              <w:t>"In addition to all applicable requirements in the Compliance and Risk Management Rulebook, VASPs must implement and maintain distributed ledger tracing software to screen incoming and outgoing Virtual Asset transactions and VA Wallet addresses. How VASPs will..."</w:t>
            </w:r>
          </w:p>
        </w:tc>
        <w:tc>
          <w:tcPr>
            <w:tcW w:type="dxa" w:w="2160"/>
          </w:tcPr>
          <w:p>
            <w:r>
              <w:t>Technology &amp; Information / Part I.F.2 / Rule I.F.2 / p13</w:t>
            </w:r>
          </w:p>
        </w:tc>
        <w:tc>
          <w:tcPr>
            <w:tcW w:type="dxa" w:w="2160"/>
          </w:tcPr>
          <w:p>
            <w:r>
              <w:t>AML/CFT 交易监测规则引擎：控制要求（见英文原文）。</w:t>
            </w:r>
          </w:p>
        </w:tc>
      </w:tr>
      <w:tr>
        <w:tc>
          <w:tcPr>
            <w:tcW w:type="dxa" w:w="2160"/>
          </w:tcPr>
          <w:p>
            <w:r>
              <w:t>C8</w:t>
            </w:r>
          </w:p>
        </w:tc>
        <w:tc>
          <w:tcPr>
            <w:tcW w:type="dxa" w:w="2160"/>
          </w:tcPr>
          <w:p>
            <w:r>
              <w:t>"Transaction monitoring standard: To enable early detection of fraudulent activities, VASPs are expected to implement comprehensive transaction monitoring, including but not limited to— a. behavioural analysis to detect anomalous patterns, and rule -based..."</w:t>
            </w:r>
          </w:p>
        </w:tc>
        <w:tc>
          <w:tcPr>
            <w:tcW w:type="dxa" w:w="2160"/>
          </w:tcPr>
          <w:p>
            <w:r>
              <w:t>Technology &amp; Information / Schedule 1 C.1 / Guidance C.1 / p25</w:t>
            </w:r>
          </w:p>
        </w:tc>
        <w:tc>
          <w:tcPr>
            <w:tcW w:type="dxa" w:w="2160"/>
          </w:tcPr>
          <w:p>
            <w:r>
              <w:t>AML/CFT 交易监测规则引擎：控制要求（见英文原文）。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AML/CFT 交易监测规则引擎：相关活动必须形成可审计记录。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AML/CFT 交易监测规则引擎：相关证据与记录至少保留八(8)年。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AML/CFT 交易监测规则引擎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AML/CFT 交易监测规则引擎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AML/CFT 交易监测规则引擎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AML/CFT 交易监测规则引擎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AML/CFT 交易监测规则引擎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F-AUD-027-001 — AML/CFT 交易监测规则引擎 主流程</w:t>
      </w:r>
    </w:p>
    <w:p>
      <w:r>
        <w:t>requirement_refs: C1/C2/C3/C4</w:t>
      </w:r>
    </w:p>
    <w:p>
      <w:r>
        <w:t>ASCII 流程图：</w:t>
      </w:r>
    </w:p>
    <w:p>
      <w:r>
        <w:t>[Start] -&gt; [Policy Approved] -&gt; [Execute AML/CFT 交易监测规则引擎]</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F-AUD-027-002 — AML/CFT 交易监测规则引擎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F-AUD-027-003 — AML/CFT 交易监测规则引擎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AML/CFT 交易监测规则引擎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AML/CFT 交易监测规则引擎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AML/CFT 交易监测规则引擎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AML/CFT 交易监测规则引擎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AML/CFT 交易监测规则引擎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AML/CFT 交易监测规则引擎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AML/CFT 交易监测规则引擎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