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CAP-028_Audit_Compliance_Guide_v2</w:t>
      </w:r>
    </w:p>
    <w:p>
      <w:pPr>
        <w:jc w:val="center"/>
      </w:pPr>
      <w:r>
        <w:t>链上分析与地址归因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CAP-028</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Technology &amp; Information Part I.F; Compliance &amp; Risk Part III.C; Compliance &amp; Risk Part III.B; Technology &amp; Information Schedule 1 C; Compliance &amp; Risk Part III.I</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CAP-028（链上分析与地址归因）在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"In addition to all applicable requirements in the Compliance and Risk Management Rulebook, VASPs must implement and maintain distributed ledger tracing software to screen incoming and outgoing Virtual Asset transactions and VA Wallet addresses. How VASPs will..."</w:t>
            </w:r>
          </w:p>
        </w:tc>
        <w:tc>
          <w:tcPr>
            <w:tcW w:type="dxa" w:w="2160"/>
          </w:tcPr>
          <w:p>
            <w:r>
              <w:t>Technology &amp; Information / Part I.F.2 / Rule I.F.2 / p13</w:t>
            </w:r>
          </w:p>
        </w:tc>
        <w:tc>
          <w:tcPr>
            <w:tcW w:type="dxa" w:w="2160"/>
          </w:tcPr>
          <w:p>
            <w:r>
              <w:t>链上分析与地址归因：控制要求（见英文原文）。</w:t>
            </w:r>
          </w:p>
        </w:tc>
      </w:tr>
      <w:tr>
        <w:tc>
          <w:tcPr>
            <w:tcW w:type="dxa" w:w="2160"/>
          </w:tcPr>
          <w:p>
            <w:r>
              <w:t>C2</w:t>
            </w:r>
          </w:p>
        </w:tc>
        <w:tc>
          <w:tcPr>
            <w:tcW w:type="dxa" w:w="2160"/>
          </w:tcPr>
          <w:p>
            <w:r>
              <w:t>"VASPs should have effective AML/CFT controls and systems in place which can adequately manage the AML/CFT risks relevant to their VA Activities, including the use of distributed ledger analytics tools, as well as other investigative tools or capabilities to..."</w:t>
            </w:r>
          </w:p>
        </w:tc>
        <w:tc>
          <w:tcPr>
            <w:tcW w:type="dxa" w:w="2160"/>
          </w:tcPr>
          <w:p>
            <w:r>
              <w:t>Compliance &amp; Risk / Part III.C.1 / Rule III.C.1 / p26</w:t>
            </w:r>
          </w:p>
        </w:tc>
        <w:tc>
          <w:tcPr>
            <w:tcW w:type="dxa" w:w="2160"/>
          </w:tcPr>
          <w:p>
            <w:r>
              <w:t>链上分析与地址归因：控制要求（见英文原文）。</w:t>
            </w:r>
          </w:p>
        </w:tc>
      </w:tr>
      <w:tr>
        <w:tc>
          <w:tcPr>
            <w:tcW w:type="dxa" w:w="2160"/>
          </w:tcPr>
          <w:p>
            <w:r>
              <w:t>C3</w:t>
            </w:r>
          </w:p>
        </w:tc>
        <w:tc>
          <w:tcPr>
            <w:tcW w:type="dxa" w:w="2160"/>
          </w:tcPr>
          <w:p>
            <w:r>
              <w:t>"In respect of any distributed ledger analytics tools used, VASP s should review and document their review of the capabilities and weaknesses of such tools and design controls to monitor clients’ interaction with their VA Activities."</w:t>
            </w:r>
          </w:p>
        </w:tc>
        <w:tc>
          <w:tcPr>
            <w:tcW w:type="dxa" w:w="2160"/>
          </w:tcPr>
          <w:p>
            <w:r>
              <w:t>Compliance &amp; Risk / Part III.C.2 / Rule III.C.2 / p26</w:t>
            </w:r>
          </w:p>
        </w:tc>
        <w:tc>
          <w:tcPr>
            <w:tcW w:type="dxa" w:w="2160"/>
          </w:tcPr>
          <w:p>
            <w:r>
              <w:t>链上分析与地址归因：控制要求（见英文原文）。</w:t>
            </w:r>
          </w:p>
        </w:tc>
      </w:tr>
      <w:tr>
        <w:tc>
          <w:tcPr>
            <w:tcW w:type="dxa" w:w="2160"/>
          </w:tcPr>
          <w:p>
            <w:r>
              <w:t>C4</w:t>
            </w:r>
          </w:p>
        </w:tc>
        <w:tc>
          <w:tcPr>
            <w:tcW w:type="dxa" w:w="2160"/>
          </w:tcPr>
          <w:p>
            <w:r>
              <w:t>"Information about Virtual Asset transactions and VA Wallet addresses are dynamic in nature. VASPs should review and document their review of the performance and function of any distributed ledger analytics tools used to for ongoing monitoring."</w:t>
            </w:r>
          </w:p>
        </w:tc>
        <w:tc>
          <w:tcPr>
            <w:tcW w:type="dxa" w:w="2160"/>
          </w:tcPr>
          <w:p>
            <w:r>
              <w:t>Compliance &amp; Risk / Part III.C.3 / Rule III.C.3 / p26</w:t>
            </w:r>
          </w:p>
        </w:tc>
        <w:tc>
          <w:tcPr>
            <w:tcW w:type="dxa" w:w="2160"/>
          </w:tcPr>
          <w:p>
            <w:r>
              <w:t>链上分析与地址归因：控制要求（见英文原文）。</w:t>
            </w:r>
          </w:p>
        </w:tc>
      </w:tr>
      <w:tr>
        <w:tc>
          <w:tcPr>
            <w:tcW w:type="dxa" w:w="2160"/>
          </w:tcPr>
          <w:p>
            <w:r>
              <w:t>C5</w:t>
            </w:r>
          </w:p>
        </w:tc>
        <w:tc>
          <w:tcPr>
            <w:tcW w:type="dxa" w:w="2160"/>
          </w:tcPr>
          <w:p>
            <w:r>
              <w:t>"VASPs shall establish adequate risk rules to screen clients, UBOs, Virtual Asset transactions and VA Wallet addresses to— a. identify potential illicit activities, potentially adverse information in higher risk situations (e.g."</w:t>
            </w:r>
          </w:p>
        </w:tc>
        <w:tc>
          <w:tcPr>
            <w:tcW w:type="dxa" w:w="2160"/>
          </w:tcPr>
          <w:p>
            <w:r>
              <w:t>Compliance &amp; Risk / Part III.B.3 / Rule III.B.3 / p25</w:t>
            </w:r>
          </w:p>
        </w:tc>
        <w:tc>
          <w:tcPr>
            <w:tcW w:type="dxa" w:w="2160"/>
          </w:tcPr>
          <w:p>
            <w:r>
              <w:t>链上分析与地址归因：控制要求（见英文原文）。</w:t>
            </w:r>
          </w:p>
        </w:tc>
      </w:tr>
      <w:tr>
        <w:tc>
          <w:tcPr>
            <w:tcW w:type="dxa" w:w="2160"/>
          </w:tcPr>
          <w:p>
            <w:r>
              <w:t>C6</w:t>
            </w:r>
          </w:p>
        </w:tc>
        <w:tc>
          <w:tcPr>
            <w:tcW w:type="dxa" w:w="2160"/>
          </w:tcPr>
          <w:p>
            <w:r>
              <w:t>"On-chain analysis standard: To improve the ability to trace stolen funds and identify potential recovery opportunities, VASPs are expected to develop and maintain on -chain analysis capabilities, including but not limited to— a. transaction tracing tools and..."</w:t>
            </w:r>
          </w:p>
        </w:tc>
        <w:tc>
          <w:tcPr>
            <w:tcW w:type="dxa" w:w="2160"/>
          </w:tcPr>
          <w:p>
            <w:r>
              <w:t>Technology &amp; Information / Schedule 1 C.6 / Guidance C.6 / p26</w:t>
            </w:r>
          </w:p>
        </w:tc>
        <w:tc>
          <w:tcPr>
            <w:tcW w:type="dxa" w:w="2160"/>
          </w:tcPr>
          <w:p>
            <w:r>
              <w:t>链上分析与地址归因：控制要求（见英文原文）。</w:t>
            </w:r>
          </w:p>
        </w:tc>
      </w:tr>
      <w:tr>
        <w:tc>
          <w:tcPr>
            <w:tcW w:type="dxa" w:w="2160"/>
          </w:tcPr>
          <w:p>
            <w:r>
              <w:t>C7</w:t>
            </w:r>
          </w:p>
        </w:tc>
        <w:tc>
          <w:tcPr>
            <w:tcW w:type="dxa" w:w="2160"/>
          </w:tcPr>
          <w:p>
            <w:r>
              <w:t>"Virtual Asset transaction records, including operational and statistical records, documents and information (whether or not recorded on public distributed ledgers ) concerning all transactions executed or processed by the VASP;"</w:t>
            </w:r>
          </w:p>
        </w:tc>
        <w:tc>
          <w:tcPr>
            <w:tcW w:type="dxa" w:w="2160"/>
          </w:tcPr>
          <w:p>
            <w:r>
              <w:t>Compliance &amp; Risk / Part III.I.1(a) / Rule III.I.1(a) / p35</w:t>
            </w:r>
          </w:p>
        </w:tc>
        <w:tc>
          <w:tcPr>
            <w:tcW w:type="dxa" w:w="2160"/>
          </w:tcPr>
          <w:p>
            <w:r>
              <w:t>链上分析与地址归因：控制要求（见英文原文）。</w:t>
            </w:r>
          </w:p>
        </w:tc>
      </w:tr>
      <w:tr>
        <w:tc>
          <w:tcPr>
            <w:tcW w:type="dxa" w:w="2160"/>
          </w:tcPr>
          <w:p>
            <w:r>
              <w:t>C8</w:t>
            </w:r>
          </w:p>
        </w:tc>
        <w:tc>
          <w:tcPr>
            <w:tcW w:type="dxa" w:w="2160"/>
          </w:tcPr>
          <w:p>
            <w:r>
              <w:t>"VASPs shall retain all records required in Rule III.I.1 for a period of no less than eight (8) years."</w:t>
            </w:r>
          </w:p>
        </w:tc>
        <w:tc>
          <w:tcPr>
            <w:tcW w:type="dxa" w:w="2160"/>
          </w:tcPr>
          <w:p>
            <w:r>
              <w:t>Compliance &amp; Risk / Part III.I.2 / Rule III.I.2 / p36</w:t>
            </w:r>
          </w:p>
        </w:tc>
        <w:tc>
          <w:tcPr>
            <w:tcW w:type="dxa" w:w="2160"/>
          </w:tcPr>
          <w:p>
            <w:r>
              <w:t>链上分析与地址归因：控制要求（见英文原文）。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链上分析与地址归因：相关活动必须形成可审计记录。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链上分析与地址归因：相关证据与记录至少保留八(8)年。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链上分析与地址归因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链上分析与地址归因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链上分析与地址归因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链上分析与地址归因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链上分析与地址归因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F-AUD-028-001 — 链上分析与地址归因 主流程</w:t>
      </w:r>
    </w:p>
    <w:p>
      <w:r>
        <w:t>requirement_refs: C1/C2/C3/C4</w:t>
      </w:r>
    </w:p>
    <w:p>
      <w:r>
        <w:t>ASCII 流程图：</w:t>
      </w:r>
    </w:p>
    <w:p>
      <w:r>
        <w:t>[Start] -&gt; [Policy Approved] -&gt; [Execute 链上分析与地址归因]</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F-AUD-028-002 — 链上分析与地址归因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F-AUD-028-003 — 链上分析与地址归因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链上分析与地址归因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链上分析与地址归因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链上分析与地址归因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链上分析与地址归因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链上分析与地址归因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链上分析与地址归因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链上分析与地址归因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