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CAP-029_Audit_Compliance_Guide_v2</w:t>
      </w:r>
    </w:p>
    <w:p>
      <w:pPr>
        <w:jc w:val="center"/>
      </w:pPr>
      <w:r>
        <w:t>Travel Rule 与无托管钱包风险控制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CAP-029</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III.G</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CAP-029（Travel Rule 与无托管钱包风险控制）在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"Prior to initiating any transfer of Virtual Assets with an equivalent value exceeding AED 3,500, VASPs must obtain and hold required and accurate originator information and required beneficiary information, and make it available on request to VARA and/or..."</w:t>
            </w:r>
          </w:p>
        </w:tc>
        <w:tc>
          <w:tcPr>
            <w:tcW w:type="dxa" w:w="2160"/>
          </w:tcPr>
          <w:p>
            <w:r>
              <w:t>Compliance &amp; Risk / Part III.G.2 / Rule III.G.2 / p33</w:t>
            </w:r>
          </w:p>
        </w:tc>
        <w:tc>
          <w:tcPr>
            <w:tcW w:type="dxa" w:w="2160"/>
          </w:tcPr>
          <w:p>
            <w:r>
              <w:t>Travel Rule 与无托管钱包风险控制：控制要求（见英文原文）。</w:t>
            </w:r>
          </w:p>
        </w:tc>
      </w:tr>
      <w:tr>
        <w:tc>
          <w:tcPr>
            <w:tcW w:type="dxa" w:w="2160"/>
          </w:tcPr>
          <w:p>
            <w:r>
              <w:t>C2</w:t>
            </w:r>
          </w:p>
        </w:tc>
        <w:tc>
          <w:tcPr>
            <w:tcW w:type="dxa" w:w="2160"/>
          </w:tcPr>
          <w:p>
            <w:r>
              <w:t>"Prior to permitting any clients access to V irtual Assets received from a transfer with an equivalent value exceeding AED 3,500 , a beneficiary VASP must obtain and hold required originator information and required and accurate beneficiary information, and..."</w:t>
            </w:r>
          </w:p>
        </w:tc>
        <w:tc>
          <w:tcPr>
            <w:tcW w:type="dxa" w:w="2160"/>
          </w:tcPr>
          <w:p>
            <w:r>
              <w:t>Compliance &amp; Risk / Part III.G.3 / Rule III.G.3 / p33</w:t>
            </w:r>
          </w:p>
        </w:tc>
        <w:tc>
          <w:tcPr>
            <w:tcW w:type="dxa" w:w="2160"/>
          </w:tcPr>
          <w:p>
            <w:r>
              <w:t>Travel Rule 与无托管钱包风险控制：控制要求（见英文原文）。</w:t>
            </w:r>
          </w:p>
        </w:tc>
      </w:tr>
      <w:tr>
        <w:tc>
          <w:tcPr>
            <w:tcW w:type="dxa" w:w="2160"/>
          </w:tcPr>
          <w:p>
            <w:r>
              <w:t>C3</w:t>
            </w:r>
          </w:p>
        </w:tc>
        <w:tc>
          <w:tcPr>
            <w:tcW w:type="dxa" w:w="2160"/>
          </w:tcPr>
          <w:p>
            <w:r>
              <w:t>"Subject to additional requirements prescribed in Federal AML-CFT Laws, the minimum required originator information shall include, but not be limited to, the originator’s— a. name; b."</w:t>
            </w:r>
          </w:p>
        </w:tc>
        <w:tc>
          <w:tcPr>
            <w:tcW w:type="dxa" w:w="2160"/>
          </w:tcPr>
          <w:p>
            <w:r>
              <w:t>Compliance &amp; Risk / Part III.G.4 / Rule III.G.4 / p33</w:t>
            </w:r>
          </w:p>
        </w:tc>
        <w:tc>
          <w:tcPr>
            <w:tcW w:type="dxa" w:w="2160"/>
          </w:tcPr>
          <w:p>
            <w:r>
              <w:t>Travel Rule 与无托管钱包风险控制：控制要求（见英文原文）。</w:t>
            </w:r>
          </w:p>
        </w:tc>
      </w:tr>
      <w:tr>
        <w:tc>
          <w:tcPr>
            <w:tcW w:type="dxa" w:w="2160"/>
          </w:tcPr>
          <w:p>
            <w:r>
              <w:t>C4</w:t>
            </w:r>
          </w:p>
        </w:tc>
        <w:tc>
          <w:tcPr>
            <w:tcW w:type="dxa" w:w="2160"/>
          </w:tcPr>
          <w:p>
            <w:r>
              <w:t>"Subject to additional requirements prescribed in Federal AML-CFT Laws, the minimum required beneficiary information shall include, but not be limited to, the beneficiary’s— a. name; and b."</w:t>
            </w:r>
          </w:p>
        </w:tc>
        <w:tc>
          <w:tcPr>
            <w:tcW w:type="dxa" w:w="2160"/>
          </w:tcPr>
          <w:p>
            <w:r>
              <w:t>Compliance &amp; Risk / Part III.G.5 / Rule III.G.5 / p33</w:t>
            </w:r>
          </w:p>
        </w:tc>
        <w:tc>
          <w:tcPr>
            <w:tcW w:type="dxa" w:w="2160"/>
          </w:tcPr>
          <w:p>
            <w:r>
              <w:t>Travel Rule 与无托管钱包风险控制：控制要求（见英文原文）。</w:t>
            </w:r>
          </w:p>
        </w:tc>
      </w:tr>
      <w:tr>
        <w:tc>
          <w:tcPr>
            <w:tcW w:type="dxa" w:w="2160"/>
          </w:tcPr>
          <w:p>
            <w:r>
              <w:t>C5</w:t>
            </w:r>
          </w:p>
        </w:tc>
        <w:tc>
          <w:tcPr>
            <w:tcW w:type="dxa" w:w="2160"/>
          </w:tcPr>
          <w:p>
            <w:r>
              <w:t>"Prior to entering into any transaction with a counterparty VASP or virtual asset service provider in any other jurisdiction, VASPs must complete risk-based due diligence on such counterparty in order to mitigate AML/CFT risks. This due diligence does not need..."</w:t>
            </w:r>
          </w:p>
        </w:tc>
        <w:tc>
          <w:tcPr>
            <w:tcW w:type="dxa" w:w="2160"/>
          </w:tcPr>
          <w:p>
            <w:r>
              <w:t>Compliance &amp; Risk / Part III.G.6 / Rule III.G.6 / p33</w:t>
            </w:r>
          </w:p>
        </w:tc>
        <w:tc>
          <w:tcPr>
            <w:tcW w:type="dxa" w:w="2160"/>
          </w:tcPr>
          <w:p>
            <w:r>
              <w:t>Travel Rule 与无托管钱包风险控制：控制要求（见英文原文）。</w:t>
            </w:r>
          </w:p>
        </w:tc>
      </w:tr>
      <w:tr>
        <w:tc>
          <w:tcPr>
            <w:tcW w:type="dxa" w:w="2160"/>
          </w:tcPr>
          <w:p>
            <w:r>
              <w:t>C6</w:t>
            </w:r>
          </w:p>
        </w:tc>
        <w:tc>
          <w:tcPr>
            <w:tcW w:type="dxa" w:w="2160"/>
          </w:tcPr>
          <w:p>
            <w:r>
              <w:t>"In complying with the Travel Rule, VASPs must consider how they will handle the risks associated with— a. deposits or withdrawals (including those which are compliant with the Travel Rule and those which are not); b."</w:t>
            </w:r>
          </w:p>
        </w:tc>
        <w:tc>
          <w:tcPr>
            <w:tcW w:type="dxa" w:w="2160"/>
          </w:tcPr>
          <w:p>
            <w:r>
              <w:t>Compliance &amp; Risk / Part III.G.7 / Rule III.G.7 / p34</w:t>
            </w:r>
          </w:p>
        </w:tc>
        <w:tc>
          <w:tcPr>
            <w:tcW w:type="dxa" w:w="2160"/>
          </w:tcPr>
          <w:p>
            <w:r>
              <w:t>Travel Rule 与无托管钱包风险控制：控制要求（见英文原文）。</w:t>
            </w:r>
          </w:p>
        </w:tc>
      </w:tr>
      <w:tr>
        <w:tc>
          <w:tcPr>
            <w:tcW w:type="dxa" w:w="2160"/>
          </w:tcPr>
          <w:p>
            <w:r>
              <w:t>C7</w:t>
            </w:r>
          </w:p>
        </w:tc>
        <w:tc>
          <w:tcPr>
            <w:tcW w:type="dxa" w:w="2160"/>
          </w:tcPr>
          <w:p>
            <w:r>
              <w:t>"VASPs shall be required to demonstrate to VARA how they comply with the Travel Rule during the licensing process and submit to VARA relevant policies and controls . VASPs should also include their plan to comply with the Travel Rule with virtual asset service..."</w:t>
            </w:r>
          </w:p>
        </w:tc>
        <w:tc>
          <w:tcPr>
            <w:tcW w:type="dxa" w:w="2160"/>
          </w:tcPr>
          <w:p>
            <w:r>
              <w:t>Compliance &amp; Risk / Part III.G.8 / Rule III.G.8 / p34</w:t>
            </w:r>
          </w:p>
        </w:tc>
        <w:tc>
          <w:tcPr>
            <w:tcW w:type="dxa" w:w="2160"/>
          </w:tcPr>
          <w:p>
            <w:r>
              <w:t>Travel Rule 与无托管钱包风险控制：控制要求（见英文原文）。</w:t>
            </w:r>
          </w:p>
        </w:tc>
      </w:tr>
      <w:tr>
        <w:tc>
          <w:tcPr>
            <w:tcW w:type="dxa" w:w="2160"/>
          </w:tcPr>
          <w:p>
            <w:r>
              <w:t>C8</w:t>
            </w:r>
          </w:p>
        </w:tc>
        <w:tc>
          <w:tcPr>
            <w:tcW w:type="dxa" w:w="2160"/>
          </w:tcPr>
          <w:p>
            <w:r>
              <w:t>"In implementing policies and controls to comply with the Travel Rule and AML/CFT Rule s, VASPs shall be guided by FATF Interpretive Note to Recommendation 15 and all applicable regulatory requirements and guidelines as may be in force from time to time. VASPs..."</w:t>
            </w:r>
          </w:p>
        </w:tc>
        <w:tc>
          <w:tcPr>
            <w:tcW w:type="dxa" w:w="2160"/>
          </w:tcPr>
          <w:p>
            <w:r>
              <w:t>Compliance &amp; Risk / Part III.G.9 / Rule III.G.9 / p34</w:t>
            </w:r>
          </w:p>
        </w:tc>
        <w:tc>
          <w:tcPr>
            <w:tcW w:type="dxa" w:w="2160"/>
          </w:tcPr>
          <w:p>
            <w:r>
              <w:t>Travel Rule 与无托管钱包风险控制：控制要求（见英文原文）。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Travel Rule 与无托管钱包风险控制：相关活动必须形成可审计记录。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Travel Rule 与无托管钱包风险控制：相关证据与记录至少保留八(8)年。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Travel Rule 与无托管钱包风险控制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Travel Rule 与无托管钱包风险控制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Travel Rule 与无托管钱包风险控制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Travel Rule 与无托管钱包风险控制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Travel Rule 与无托管钱包风险控制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F-AUD-029-001 — Travel Rule 与无托管钱包风险控制 主流程</w:t>
      </w:r>
    </w:p>
    <w:p>
      <w:r>
        <w:t>requirement_refs: C1/C2/C3/C4</w:t>
      </w:r>
    </w:p>
    <w:p>
      <w:r>
        <w:t>ASCII 流程图：</w:t>
      </w:r>
    </w:p>
    <w:p>
      <w:r>
        <w:t>[Start] -&gt; [Policy Approved] -&gt; [Execute Travel Rule 与无托管钱包风险控制]</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F-AUD-029-002 — Travel Rule 与无托管钱包风险控制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F-AUD-029-003 — Travel Rule 与无托管钱包风险控制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Travel Rule 与无托管钱包风险控制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Travel Rule 与无托管钱包风险控制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Travel Rule 与无托管钱包风险控制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Travel Rule 与无托管钱包风险控制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Travel Rule 与无托管钱包风险控制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Travel Rule 与无托管钱包风险控制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Travel Rule 与无托管钱包风险控制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