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22222"/>
        </w:rPr>
        <w:t>CONFIDENTIAL</w:t>
      </w:r>
    </w:p>
    <w:p>
      <w:pPr>
        <w:jc w:val="center"/>
      </w:pPr>
      <w:r>
        <w:t>CAP-032_Audit_Compliance_Guide_v2</w:t>
      </w:r>
    </w:p>
    <w:p>
      <w:pPr>
        <w:jc w:val="center"/>
      </w:pPr>
      <w:r>
        <w:t>反 tipping-off 案件隔离控制 — 合规可审计版本</w:t>
      </w:r>
    </w:p>
    <w:p>
      <w:pPr>
        <w:jc w:val="center"/>
      </w:pPr>
      <w:r>
        <w:t>Prepared for: Virtual Assets Regulatory Authority (VARA), Dubai</w:t>
      </w:r>
    </w:p>
    <w:p>
      <w:pPr>
        <w:jc w:val="center"/>
      </w:pPr>
      <w:r>
        <w:t>Application Type: Broker-Dealer Licence (Fiat ↔ Virtual Asset Exchange)</w:t>
      </w:r>
    </w:p>
    <w:p>
      <w:pPr>
        <w:pStyle w:val="Heading1"/>
      </w:pPr>
      <w:r>
        <w:t>1. 文档控制信息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cap_id</w:t>
            </w:r>
          </w:p>
        </w:tc>
        <w:tc>
          <w:tcPr>
            <w:tcW w:type="dxa" w:w="4320"/>
          </w:tcPr>
          <w:p>
            <w:r>
              <w:t>CAP-032</w:t>
            </w:r>
          </w:p>
        </w:tc>
      </w:tr>
      <w:tr>
        <w:tc>
          <w:tcPr>
            <w:tcW w:type="dxa" w:w="4320"/>
          </w:tcPr>
          <w:p>
            <w:r>
              <w:t>doc_type</w:t>
            </w:r>
          </w:p>
        </w:tc>
        <w:tc>
          <w:tcPr>
            <w:tcW w:type="dxa" w:w="4320"/>
          </w:tcPr>
          <w:p>
            <w:r>
              <w:t>audit_compliance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2026-02-09</w:t>
            </w:r>
          </w:p>
        </w:tc>
      </w:tr>
      <w:tr>
        <w:tc>
          <w:tcPr>
            <w:tcW w:type="dxa" w:w="4320"/>
          </w:tcPr>
          <w:p>
            <w:r>
              <w:t>rulebook_scope</w:t>
            </w:r>
          </w:p>
        </w:tc>
        <w:tc>
          <w:tcPr>
            <w:tcW w:type="dxa" w:w="4320"/>
          </w:tcPr>
          <w:p>
            <w:r>
              <w:t>Compliance &amp; Risk Part III.F; Compliance &amp; Risk Part I.F; Compliance &amp; Risk Part III.I; Technology &amp; Information Schedule 1 C; Technology &amp; Information Part I.B</w:t>
            </w:r>
          </w:p>
        </w:tc>
      </w:tr>
      <w:tr>
        <w:tc>
          <w:tcPr>
            <w:tcW w:type="dxa" w:w="4320"/>
          </w:tcPr>
          <w:p>
            <w:r>
              <w:t>language_policy</w:t>
            </w:r>
          </w:p>
        </w:tc>
        <w:tc>
          <w:tcPr>
            <w:tcW w:type="dxa" w:w="4320"/>
          </w:tcPr>
          <w:p>
            <w:r>
              <w:t>中文主体 + 英文原文引用</w:t>
            </w:r>
          </w:p>
        </w:tc>
      </w:tr>
      <w:tr>
        <w:tc>
          <w:tcPr>
            <w:tcW w:type="dxa" w:w="4320"/>
          </w:tcPr>
          <w:p>
            <w:r>
              <w:t>citation_style</w:t>
            </w:r>
          </w:p>
        </w:tc>
        <w:tc>
          <w:tcPr>
            <w:tcW w:type="dxa" w:w="4320"/>
          </w:tcPr>
          <w:p>
            <w:r>
              <w:t>Rulebook/Part/Rule/page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CONFIDENTIAL — For Regulatory Review Only</w:t>
            </w:r>
          </w:p>
        </w:tc>
      </w:tr>
    </w:tbl>
    <w:p/>
    <w:p>
      <w:pPr>
        <w:pStyle w:val="Heading1"/>
      </w:pPr>
      <w:r>
        <w:t>2. 文档接口契约（CAPDocStructure）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对象</w:t>
            </w:r>
          </w:p>
        </w:tc>
        <w:tc>
          <w:tcPr>
            <w:tcW w:type="dxa" w:w="2880"/>
          </w:tcPr>
          <w:p>
            <w:r>
              <w:t>必选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CAPDocMeta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cap_id/doc_type/version/date/rulebook_scope/language_policy/citation_style</w:t>
            </w:r>
          </w:p>
        </w:tc>
      </w:tr>
      <w:tr>
        <w:tc>
          <w:tcPr>
            <w:tcW w:type="dxa" w:w="2880"/>
          </w:tcPr>
          <w:p>
            <w:r>
              <w:t>FlowchartSpec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flow_id/section_anchor/ascii_block/mermaid_block/requirement_refs/intent</w:t>
            </w:r>
          </w:p>
        </w:tc>
      </w:tr>
      <w:tr>
        <w:tc>
          <w:tcPr>
            <w:tcW w:type="dxa" w:w="2880"/>
          </w:tcPr>
          <w:p>
            <w:r>
              <w:t>DiagramPolicy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image_allowed=false; ascii_required=true; mermaid_required=true</w:t>
            </w:r>
          </w:p>
        </w:tc>
      </w:tr>
      <w:tr>
        <w:tc>
          <w:tcPr>
            <w:tcW w:type="dxa" w:w="2880"/>
          </w:tcPr>
          <w:p>
            <w:r>
              <w:t>Citations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每条控制至少 1 条英文原文 + 定位</w:t>
            </w:r>
          </w:p>
        </w:tc>
      </w:tr>
    </w:tbl>
    <w:p/>
    <w:p>
      <w:pPr>
        <w:pStyle w:val="Heading1"/>
      </w:pPr>
      <w:r>
        <w:t>3. 目的与范围</w:t>
      </w:r>
    </w:p>
    <w:p>
      <w:pPr>
        <w:pStyle w:val="ListBullet"/>
      </w:pPr>
      <w:r>
        <w:t>本文件定义 CAP-032（反 tipping-off 案件隔离控制）在 VARA 监管口径下的流程、职责与证据要求。</w:t>
      </w:r>
    </w:p>
    <w:p>
      <w:pPr>
        <w:pStyle w:val="ListBullet"/>
      </w:pPr>
      <w:r>
        <w:t>范围涵盖核心控制、关键时效/频率要求及关键证据留存。</w:t>
      </w:r>
    </w:p>
    <w:p>
      <w:pPr>
        <w:pStyle w:val="ListBullet"/>
      </w:pPr>
      <w:r>
        <w:t>本文件用于监管提交与审阅，不构成系统实施承诺。</w:t>
      </w:r>
    </w:p>
    <w:p>
      <w:pPr>
        <w:pStyle w:val="Heading1"/>
      </w:pPr>
      <w:r>
        <w:t>4. 监管依据（英文原文摘录 + 定位）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Quote (EN)</w:t>
            </w:r>
          </w:p>
        </w:tc>
        <w:tc>
          <w:tcPr>
            <w:tcW w:type="dxa" w:w="2160"/>
          </w:tcPr>
          <w:p>
            <w:r>
              <w:t>定位</w:t>
            </w:r>
          </w:p>
        </w:tc>
        <w:tc>
          <w:tcPr>
            <w:tcW w:type="dxa" w:w="2160"/>
          </w:tcPr>
          <w:p>
            <w:r>
              <w:t>监管含义(中文)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"VASPs shall employ methods which are appropriate to their particular circumstances and VA Activities, to continuously monitor business relationships with clients to identify any Suspicious Transactions and where an AML-CFT Report is required to be made. Such..."</w:t>
            </w:r>
          </w:p>
        </w:tc>
        <w:tc>
          <w:tcPr>
            <w:tcW w:type="dxa" w:w="2160"/>
          </w:tcPr>
          <w:p>
            <w:r>
              <w:t>Compliance &amp; Risk / Part III.F.1 / Rule III.F.1 / p31</w:t>
            </w:r>
          </w:p>
        </w:tc>
        <w:tc>
          <w:tcPr>
            <w:tcW w:type="dxa" w:w="2160"/>
          </w:tcPr>
          <w:p>
            <w:r>
              <w:t>反 tipping-off 案件隔离控制：控制要求（见英文原文）。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"in the event the MLRO is not the same individual as the CO, immediately reporting to the CO that a Suspicion Transaction report has been made, provided that the provision of any such report would not be considered 'tipping-off' or a similar offence under any..."</w:t>
            </w:r>
          </w:p>
        </w:tc>
        <w:tc>
          <w:tcPr>
            <w:tcW w:type="dxa" w:w="2160"/>
          </w:tcPr>
          <w:p>
            <w:r>
              <w:t>Compliance &amp; Risk / Part III.F.3(d) / Rule III.F.3(d) / p32</w:t>
            </w:r>
          </w:p>
        </w:tc>
        <w:tc>
          <w:tcPr>
            <w:tcW w:type="dxa" w:w="2160"/>
          </w:tcPr>
          <w:p>
            <w:r>
              <w:t>反 tipping-off 案件隔离控制：控制要求（见英文原文）。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"retaining communications and documentation related to investigations of client complaints and transaction error resolution or concerning facts giving rise to potential violation of laws and regulatory requirements; and"</w:t>
            </w:r>
          </w:p>
        </w:tc>
        <w:tc>
          <w:tcPr>
            <w:tcW w:type="dxa" w:w="2160"/>
          </w:tcPr>
          <w:p>
            <w:r>
              <w:t>Compliance &amp; Risk / Part I.F.1(h) / Rule I.F.1(h) / p17</w:t>
            </w:r>
          </w:p>
        </w:tc>
        <w:tc>
          <w:tcPr>
            <w:tcW w:type="dxa" w:w="2160"/>
          </w:tcPr>
          <w:p>
            <w:r>
              <w:t>反 tipping-off 案件隔离控制：控制要求（见英文原文）。</w:t>
            </w:r>
          </w:p>
        </w:tc>
      </w:tr>
      <w:tr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"Suspicious Transaction reports made in accordance with Rule III.F of this Compliance and Risk Management Rulebook."</w:t>
            </w:r>
          </w:p>
        </w:tc>
        <w:tc>
          <w:tcPr>
            <w:tcW w:type="dxa" w:w="2160"/>
          </w:tcPr>
          <w:p>
            <w:r>
              <w:t>Compliance &amp; Risk / Part III.I.1(e) / Rule III.I.1(e) / p36</w:t>
            </w:r>
          </w:p>
        </w:tc>
        <w:tc>
          <w:tcPr>
            <w:tcW w:type="dxa" w:w="2160"/>
          </w:tcPr>
          <w:p>
            <w:r>
              <w:t>反 tipping-off 案件隔离控制：控制要求（见英文原文）。</w:t>
            </w:r>
          </w:p>
        </w:tc>
      </w:tr>
      <w:tr>
        <w:tc>
          <w:tcPr>
            <w:tcW w:type="dxa" w:w="2160"/>
          </w:tcPr>
          <w:p>
            <w:r>
              <w:t>C5</w:t>
            </w:r>
          </w:p>
        </w:tc>
        <w:tc>
          <w:tcPr>
            <w:tcW w:type="dxa" w:w="2160"/>
          </w:tcPr>
          <w:p>
            <w:r>
              <w:t>"VASPs shall retain all records required in Rule III.I.1 for a period of no less than eight (8) years."</w:t>
            </w:r>
          </w:p>
        </w:tc>
        <w:tc>
          <w:tcPr>
            <w:tcW w:type="dxa" w:w="2160"/>
          </w:tcPr>
          <w:p>
            <w:r>
              <w:t>Compliance &amp; Risk / Part III.I.2 / Rule III.I.2 / p36</w:t>
            </w:r>
          </w:p>
        </w:tc>
        <w:tc>
          <w:tcPr>
            <w:tcW w:type="dxa" w:w="2160"/>
          </w:tcPr>
          <w:p>
            <w:r>
              <w:t>反 tipping-off 案件隔离控制：控制要求（见英文原文）。</w:t>
            </w:r>
          </w:p>
        </w:tc>
      </w:tr>
      <w:tr>
        <w:tc>
          <w:tcPr>
            <w:tcW w:type="dxa" w:w="2160"/>
          </w:tcPr>
          <w:p>
            <w:r>
              <w:t>C6</w:t>
            </w:r>
          </w:p>
        </w:tc>
        <w:tc>
          <w:tcPr>
            <w:tcW w:type="dxa" w:w="2160"/>
          </w:tcPr>
          <w:p>
            <w:r>
              <w:t>"Investigation capability standard : To enhance the ability to identify attack vectors and compromised assets during incidents, VASPs are expected to maintain comprehensive investigation capabilities, including but not limited to— a. dedicated forensic..."</w:t>
            </w:r>
          </w:p>
        </w:tc>
        <w:tc>
          <w:tcPr>
            <w:tcW w:type="dxa" w:w="2160"/>
          </w:tcPr>
          <w:p>
            <w:r>
              <w:t>Technology &amp; Information / Schedule 1 C.5 / Guidance C.5 / p26</w:t>
            </w:r>
          </w:p>
        </w:tc>
        <w:tc>
          <w:tcPr>
            <w:tcW w:type="dxa" w:w="2160"/>
          </w:tcPr>
          <w:p>
            <w:r>
              <w:t>反 tipping-off 案件隔离控制：控制要求（见英文原文）。</w:t>
            </w:r>
          </w:p>
        </w:tc>
      </w:tr>
      <w:tr>
        <w:tc>
          <w:tcPr>
            <w:tcW w:type="dxa" w:w="2160"/>
          </w:tcPr>
          <w:p>
            <w:r>
              <w:t>C7</w:t>
            </w:r>
          </w:p>
        </w:tc>
        <w:tc>
          <w:tcPr>
            <w:tcW w:type="dxa" w:w="2160"/>
          </w:tcPr>
          <w:p>
            <w:r>
              <w:t>"incident response , including but not limited to root cause analysis and rectification activities to prevent reoccurrence;"</w:t>
            </w:r>
          </w:p>
        </w:tc>
        <w:tc>
          <w:tcPr>
            <w:tcW w:type="dxa" w:w="2160"/>
          </w:tcPr>
          <w:p>
            <w:r>
              <w:t>Technology &amp; Information / Part I.B.3(o) / Rule I.B.3(o) / p8</w:t>
            </w:r>
          </w:p>
        </w:tc>
        <w:tc>
          <w:tcPr>
            <w:tcW w:type="dxa" w:w="2160"/>
          </w:tcPr>
          <w:p>
            <w:r>
              <w:t>反 tipping-off 案件隔离控制：控制要求（见英文原文）。</w:t>
            </w:r>
          </w:p>
        </w:tc>
      </w:tr>
      <w:tr>
        <w:tc>
          <w:tcPr>
            <w:tcW w:type="dxa" w:w="2160"/>
          </w:tcPr>
          <w:p>
            <w:r>
              <w:t>C8</w:t>
            </w:r>
          </w:p>
        </w:tc>
        <w:tc>
          <w:tcPr>
            <w:tcW w:type="dxa" w:w="2160"/>
          </w:tcPr>
          <w:p>
            <w:r>
              <w:t>"Remediation standard: To reduce the risk of re-exploitation, VASPs are expected to implement comprehensive remediation procedures, including but not limited to— a. complete rotation of all secret components (including but not limited to passwords, keys and..."</w:t>
            </w:r>
          </w:p>
        </w:tc>
        <w:tc>
          <w:tcPr>
            <w:tcW w:type="dxa" w:w="2160"/>
          </w:tcPr>
          <w:p>
            <w:r>
              <w:t>Technology &amp; Information / Schedule 1 C.7 / Guidance C.7 / p26</w:t>
            </w:r>
          </w:p>
        </w:tc>
        <w:tc>
          <w:tcPr>
            <w:tcW w:type="dxa" w:w="2160"/>
          </w:tcPr>
          <w:p>
            <w:r>
              <w:t>反 tipping-off 案件隔离控制：控制要求（见英文原文）。</w:t>
            </w:r>
          </w:p>
        </w:tc>
      </w:tr>
      <w:tr>
        <w:tc>
          <w:tcPr>
            <w:tcW w:type="dxa" w:w="2160"/>
          </w:tcPr>
          <w:p>
            <w:r>
              <w:t>C9</w:t>
            </w:r>
          </w:p>
        </w:tc>
        <w:tc>
          <w:tcPr>
            <w:tcW w:type="dxa" w:w="2160"/>
          </w:tcPr>
          <w:p>
            <w:r>
              <w:t>"keep their books and records properly ... including ... proper audit trails of all transactions"</w:t>
            </w:r>
          </w:p>
        </w:tc>
        <w:tc>
          <w:tcPr>
            <w:tcW w:type="dxa" w:w="2160"/>
          </w:tcPr>
          <w:p>
            <w:r>
              <w:t>Compliance &amp; Risk / Part I.F.1 / Rule I.F.1 / p16</w:t>
            </w:r>
          </w:p>
        </w:tc>
        <w:tc>
          <w:tcPr>
            <w:tcW w:type="dxa" w:w="2160"/>
          </w:tcPr>
          <w:p>
            <w:r>
              <w:t>反 tipping-off 案件隔离控制：相关活动必须形成可审计记录。</w:t>
            </w:r>
          </w:p>
        </w:tc>
      </w:tr>
      <w:tr>
        <w:tc>
          <w:tcPr>
            <w:tcW w:type="dxa" w:w="2160"/>
          </w:tcPr>
          <w:p>
            <w:r>
              <w:t>C10</w:t>
            </w:r>
          </w:p>
        </w:tc>
        <w:tc>
          <w:tcPr>
            <w:tcW w:type="dxa" w:w="2160"/>
          </w:tcPr>
          <w:p>
            <w:r>
              <w:t>"retain each such record ... no less than eight (8) years"</w:t>
            </w:r>
          </w:p>
        </w:tc>
        <w:tc>
          <w:tcPr>
            <w:tcW w:type="dxa" w:w="2160"/>
          </w:tcPr>
          <w:p>
            <w:r>
              <w:t>Compliance &amp; Risk / Part I.F.2 / Rule I.F.2 / p17</w:t>
            </w:r>
          </w:p>
        </w:tc>
        <w:tc>
          <w:tcPr>
            <w:tcW w:type="dxa" w:w="2160"/>
          </w:tcPr>
          <w:p>
            <w:r>
              <w:t>反 tipping-off 案件隔离控制：相关证据与记录至少保留八(8)年。</w:t>
            </w:r>
          </w:p>
        </w:tc>
      </w:tr>
    </w:tbl>
    <w:p/>
    <w:p>
      <w:pPr>
        <w:pStyle w:val="Heading1"/>
      </w:pPr>
      <w:r>
        <w:t>5. 标准流程（仅监管流程）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阶段</w:t>
            </w:r>
          </w:p>
        </w:tc>
        <w:tc>
          <w:tcPr>
            <w:tcW w:type="dxa" w:w="1440"/>
          </w:tcPr>
          <w:p>
            <w:r>
              <w:t>流程动作</w:t>
            </w:r>
          </w:p>
        </w:tc>
        <w:tc>
          <w:tcPr>
            <w:tcW w:type="dxa" w:w="1440"/>
          </w:tcPr>
          <w:p>
            <w:r>
              <w:t>监管要求</w:t>
            </w:r>
          </w:p>
        </w:tc>
        <w:tc>
          <w:tcPr>
            <w:tcW w:type="dxa" w:w="1440"/>
          </w:tcPr>
          <w:p>
            <w:r>
              <w:t>通过标准</w:t>
            </w:r>
          </w:p>
        </w:tc>
        <w:tc>
          <w:tcPr>
            <w:tcW w:type="dxa" w:w="1440"/>
          </w:tcPr>
          <w:p>
            <w:r>
              <w:t>不通过处置</w:t>
            </w:r>
          </w:p>
        </w:tc>
        <w:tc>
          <w:tcPr>
            <w:tcW w:type="dxa" w:w="1440"/>
          </w:tcPr>
          <w:p>
            <w:r>
              <w:t>证据输出</w:t>
            </w:r>
          </w:p>
        </w:tc>
      </w:tr>
      <w:tr>
        <w:tc>
          <w:tcPr>
            <w:tcW w:type="dxa" w:w="1440"/>
          </w:tcPr>
          <w:p>
            <w:r>
              <w:t>S1</w:t>
            </w:r>
          </w:p>
        </w:tc>
        <w:tc>
          <w:tcPr>
            <w:tcW w:type="dxa" w:w="1440"/>
          </w:tcPr>
          <w:p>
            <w:r>
              <w:t>反 tipping-off 案件隔离控制 治理/政策与准入</w:t>
            </w:r>
          </w:p>
        </w:tc>
        <w:tc>
          <w:tcPr>
            <w:tcW w:type="dxa" w:w="1440"/>
          </w:tcPr>
          <w:p>
            <w:r>
              <w:t>按 C1/C2 定义范围与最低控制要求</w:t>
            </w:r>
          </w:p>
        </w:tc>
        <w:tc>
          <w:tcPr>
            <w:tcW w:type="dxa" w:w="1440"/>
          </w:tcPr>
          <w:p>
            <w:r>
              <w:t>政策/流程版本可追溯且经批准</w:t>
            </w:r>
          </w:p>
        </w:tc>
        <w:tc>
          <w:tcPr>
            <w:tcW w:type="dxa" w:w="1440"/>
          </w:tcPr>
          <w:p>
            <w:r>
              <w:t>暂停发布/升级合规复核</w:t>
            </w:r>
          </w:p>
        </w:tc>
        <w:tc>
          <w:tcPr>
            <w:tcW w:type="dxa" w:w="1440"/>
          </w:tcPr>
          <w:p>
            <w:r>
              <w:t>政策版本+批准记录</w:t>
            </w:r>
          </w:p>
        </w:tc>
      </w:tr>
      <w:tr>
        <w:tc>
          <w:tcPr>
            <w:tcW w:type="dxa" w:w="1440"/>
          </w:tcPr>
          <w:p>
            <w:r>
              <w:t>S2</w:t>
            </w:r>
          </w:p>
        </w:tc>
        <w:tc>
          <w:tcPr>
            <w:tcW w:type="dxa" w:w="1440"/>
          </w:tcPr>
          <w:p>
            <w:r>
              <w:t>反 tipping-off 案件隔离控制 核心执行控制</w:t>
            </w:r>
          </w:p>
        </w:tc>
        <w:tc>
          <w:tcPr>
            <w:tcW w:type="dxa" w:w="1440"/>
          </w:tcPr>
          <w:p>
            <w:r>
              <w:t>按 C3/C4 执行关键控制并形成记录</w:t>
            </w:r>
          </w:p>
        </w:tc>
        <w:tc>
          <w:tcPr>
            <w:tcW w:type="dxa" w:w="1440"/>
          </w:tcPr>
          <w:p>
            <w:r>
              <w:t>执行记录完整且可回放</w:t>
            </w:r>
          </w:p>
        </w:tc>
        <w:tc>
          <w:tcPr>
            <w:tcW w:type="dxa" w:w="1440"/>
          </w:tcPr>
          <w:p>
            <w:r>
              <w:t>阻断/退回/纠偏并留痕</w:t>
            </w:r>
          </w:p>
        </w:tc>
        <w:tc>
          <w:tcPr>
            <w:tcW w:type="dxa" w:w="1440"/>
          </w:tcPr>
          <w:p>
            <w:r>
              <w:t>执行记录/审批记录</w:t>
            </w:r>
          </w:p>
        </w:tc>
      </w:tr>
      <w:tr>
        <w:tc>
          <w:tcPr>
            <w:tcW w:type="dxa" w:w="1440"/>
          </w:tcPr>
          <w:p>
            <w:r>
              <w:t>S3</w:t>
            </w:r>
          </w:p>
        </w:tc>
        <w:tc>
          <w:tcPr>
            <w:tcW w:type="dxa" w:w="1440"/>
          </w:tcPr>
          <w:p>
            <w:r>
              <w:t>反 tipping-off 案件隔离控制 异常与升级处置</w:t>
            </w:r>
          </w:p>
        </w:tc>
        <w:tc>
          <w:tcPr>
            <w:tcW w:type="dxa" w:w="1440"/>
          </w:tcPr>
          <w:p>
            <w:r>
              <w:t>按 C5/C6 识别异常并升级处置</w:t>
            </w:r>
          </w:p>
        </w:tc>
        <w:tc>
          <w:tcPr>
            <w:tcW w:type="dxa" w:w="1440"/>
          </w:tcPr>
          <w:p>
            <w:r>
              <w:t>异常闭环且处置可审计</w:t>
            </w:r>
          </w:p>
        </w:tc>
        <w:tc>
          <w:tcPr>
            <w:tcW w:type="dxa" w:w="1440"/>
          </w:tcPr>
          <w:p>
            <w:r>
              <w:t>升级管理层/必要时暂停</w:t>
            </w:r>
          </w:p>
        </w:tc>
        <w:tc>
          <w:tcPr>
            <w:tcW w:type="dxa" w:w="1440"/>
          </w:tcPr>
          <w:p>
            <w:r>
              <w:t>异常工单+处置结论</w:t>
            </w:r>
          </w:p>
        </w:tc>
      </w:tr>
      <w:tr>
        <w:tc>
          <w:tcPr>
            <w:tcW w:type="dxa" w:w="1440"/>
          </w:tcPr>
          <w:p>
            <w:r>
              <w:t>S4</w:t>
            </w:r>
          </w:p>
        </w:tc>
        <w:tc>
          <w:tcPr>
            <w:tcW w:type="dxa" w:w="1440"/>
          </w:tcPr>
          <w:p>
            <w:r>
              <w:t>反 tipping-off 案件隔离控制 监控与复核</w:t>
            </w:r>
          </w:p>
        </w:tc>
        <w:tc>
          <w:tcPr>
            <w:tcW w:type="dxa" w:w="1440"/>
          </w:tcPr>
          <w:p>
            <w:r>
              <w:t>按 C7 要求开展监控/复核</w:t>
            </w:r>
          </w:p>
        </w:tc>
        <w:tc>
          <w:tcPr>
            <w:tcW w:type="dxa" w:w="1440"/>
          </w:tcPr>
          <w:p>
            <w:r>
              <w:t>复核按频率完成且结论可追溯</w:t>
            </w:r>
          </w:p>
        </w:tc>
        <w:tc>
          <w:tcPr>
            <w:tcW w:type="dxa" w:w="1440"/>
          </w:tcPr>
          <w:p>
            <w:r>
              <w:t>整改并复核</w:t>
            </w:r>
          </w:p>
        </w:tc>
        <w:tc>
          <w:tcPr>
            <w:tcW w:type="dxa" w:w="1440"/>
          </w:tcPr>
          <w:p>
            <w:r>
              <w:t>监控报表/复核报告</w:t>
            </w:r>
          </w:p>
        </w:tc>
      </w:tr>
      <w:tr>
        <w:tc>
          <w:tcPr>
            <w:tcW w:type="dxa" w:w="1440"/>
          </w:tcPr>
          <w:p>
            <w:r>
              <w:t>S5</w:t>
            </w:r>
          </w:p>
        </w:tc>
        <w:tc>
          <w:tcPr>
            <w:tcW w:type="dxa" w:w="1440"/>
          </w:tcPr>
          <w:p>
            <w:r>
              <w:t>反 tipping-off 案件隔离控制 通知/对账/报送（如适用）</w:t>
            </w:r>
          </w:p>
        </w:tc>
        <w:tc>
          <w:tcPr>
            <w:tcW w:type="dxa" w:w="1440"/>
          </w:tcPr>
          <w:p>
            <w:r>
              <w:t>按 C8 触发通知/对账/报告</w:t>
            </w:r>
          </w:p>
        </w:tc>
        <w:tc>
          <w:tcPr>
            <w:tcW w:type="dxa" w:w="1440"/>
          </w:tcPr>
          <w:p>
            <w:r>
              <w:t>时效满足且记录可追溯</w:t>
            </w:r>
          </w:p>
        </w:tc>
        <w:tc>
          <w:tcPr>
            <w:tcW w:type="dxa" w:w="1440"/>
          </w:tcPr>
          <w:p>
            <w:r>
              <w:t>立即纠偏并记录原因</w:t>
            </w:r>
          </w:p>
        </w:tc>
        <w:tc>
          <w:tcPr>
            <w:tcW w:type="dxa" w:w="1440"/>
          </w:tcPr>
          <w:p>
            <w:r>
              <w:t>通知/对账/报送记录</w:t>
            </w:r>
          </w:p>
        </w:tc>
      </w:tr>
      <w:tr>
        <w:tc>
          <w:tcPr>
            <w:tcW w:type="dxa" w:w="1440"/>
          </w:tcPr>
          <w:p>
            <w:r>
              <w:t>S6</w:t>
            </w:r>
          </w:p>
        </w:tc>
        <w:tc>
          <w:tcPr>
            <w:tcW w:type="dxa" w:w="1440"/>
          </w:tcPr>
          <w:p>
            <w:r>
              <w:t>记录留存与抽检响应</w:t>
            </w:r>
          </w:p>
        </w:tc>
        <w:tc>
          <w:tcPr>
            <w:tcW w:type="dxa" w:w="1440"/>
          </w:tcPr>
          <w:p>
            <w:r>
              <w:t>满足 C9/C10 审计追踪与留存</w:t>
            </w:r>
          </w:p>
        </w:tc>
        <w:tc>
          <w:tcPr>
            <w:tcW w:type="dxa" w:w="1440"/>
          </w:tcPr>
          <w:p>
            <w:r>
              <w:t>随时可导出证据包</w:t>
            </w:r>
          </w:p>
        </w:tc>
        <w:tc>
          <w:tcPr>
            <w:tcW w:type="dxa" w:w="1440"/>
          </w:tcPr>
          <w:p>
            <w:r>
              <w:t>补录纠偏并出具解释</w:t>
            </w:r>
          </w:p>
        </w:tc>
        <w:tc>
          <w:tcPr>
            <w:tcW w:type="dxa" w:w="1440"/>
          </w:tcPr>
          <w:p>
            <w:r>
              <w:t>证据包+导出记录</w:t>
            </w:r>
          </w:p>
        </w:tc>
      </w:tr>
    </w:tbl>
    <w:p/>
    <w:p>
      <w:pPr>
        <w:pStyle w:val="Heading1"/>
      </w:pPr>
      <w:r>
        <w:t>6. 流程图（ASCII + Mermaid）</w:t>
      </w:r>
    </w:p>
    <w:p>
      <w:r>
        <w:t>F-AUD-032-001 — 反 tipping-off 案件隔离控制 主流程</w:t>
      </w:r>
    </w:p>
    <w:p>
      <w:r>
        <w:t>requirement_refs: C1/C2/C3/C4</w:t>
      </w:r>
    </w:p>
    <w:p>
      <w:r>
        <w:t>ASCII 流程图：</w:t>
      </w:r>
    </w:p>
    <w:p>
      <w:r>
        <w:t>[Start] -&gt; [Policy Approved] -&gt; [Execute 反 tipping-off 案件隔离控制]</w:t>
        <w:br/>
        <w:t xml:space="preserve"> -&gt; [Check + Record Evidence] -&gt; [End]</w:t>
      </w:r>
    </w:p>
    <w:p>
      <w:r>
        <w:t>Mermaid 代码：</w:t>
      </w:r>
    </w:p>
    <w:p>
      <w:r>
        <w:t>```mermaid</w:t>
        <w:br/>
        <w:t>flowchart TD</w:t>
        <w:br/>
        <w:t>A[Start] --&gt; B[Policy Approved]</w:t>
        <w:br/>
        <w:t>B --&gt; C[Execute CAP Controls]</w:t>
        <w:br/>
        <w:t>C --&gt; D[Check and Record Evidence]</w:t>
        <w:br/>
        <w:t>D --&gt; Z[End]</w:t>
        <w:br/>
        <w:t>```</w:t>
      </w:r>
    </w:p>
    <w:p>
      <w:r>
        <w:t>F-AUD-032-002 — 反 tipping-off 案件隔离控制 异常/升级处置流程</w:t>
      </w:r>
    </w:p>
    <w:p>
      <w:r>
        <w:t>requirement_refs: C5/C6/C8</w:t>
      </w:r>
    </w:p>
    <w:p>
      <w:r>
        <w:t>ASCII 流程图：</w:t>
      </w:r>
    </w:p>
    <w:p>
      <w:r>
        <w:t>[Trigger Exception] -&gt; [Escalate] -&gt; {Approve?}</w:t>
        <w:br/>
        <w:t xml:space="preserve">  Yes -&gt; [Mitigate and Proceed] -&gt; [Close Case]</w:t>
        <w:br/>
        <w:t xml:space="preserve">  No -&gt; [Block and Notify] -&gt; [Close Case]</w:t>
      </w:r>
    </w:p>
    <w:p>
      <w:r>
        <w:t>Mermaid 代码：</w:t>
      </w:r>
    </w:p>
    <w:p>
      <w:r>
        <w:t>```mermaid</w:t>
        <w:br/>
        <w:t>flowchart TD</w:t>
        <w:br/>
        <w:t>A[Trigger Exception] --&gt; B[Escalate]</w:t>
        <w:br/>
        <w:t>B --&gt; C{Approve?}</w:t>
        <w:br/>
        <w:t>C -- Yes --&gt; D[Mitigate and Proceed]</w:t>
        <w:br/>
        <w:t>C -- No --&gt; E[Block and Notify]</w:t>
        <w:br/>
        <w:t>D --&gt; F[Close Case]</w:t>
        <w:br/>
        <w:t>E --&gt; F</w:t>
        <w:br/>
        <w:t>```</w:t>
      </w:r>
    </w:p>
    <w:p>
      <w:r>
        <w:t>F-AUD-032-003 — 反 tipping-off 案件隔离控制 证据归档与抽检响应流程</w:t>
      </w:r>
    </w:p>
    <w:p>
      <w:r>
        <w:t>requirement_refs: C7/C9/C10</w:t>
      </w:r>
    </w:p>
    <w:p>
      <w:r>
        <w:t>ASCII 流程图：</w:t>
      </w:r>
    </w:p>
    <w:p>
      <w:r>
        <w:t>[Collect Evidence] -&gt; [Retention Tag] -&gt; [Periodic Review]</w:t>
        <w:br/>
        <w:t xml:space="preserve"> -&gt; {Regulator Request?}</w:t>
        <w:br/>
        <w:t xml:space="preserve">  Yes -&gt; [Export Evidence Pack]</w:t>
        <w:br/>
        <w:t xml:space="preserve">  No -&gt; [Archive]</w:t>
      </w:r>
    </w:p>
    <w:p>
      <w:r>
        <w:t>Mermaid 代码：</w:t>
      </w:r>
    </w:p>
    <w:p>
      <w:r>
        <w:t>```mermaid</w:t>
        <w:br/>
        <w:t>flowchart TD</w:t>
        <w:br/>
        <w:t>A[Collect Evidence] --&gt; B[Retention Tag]</w:t>
        <w:br/>
        <w:t>B --&gt; C[Periodic Review]</w:t>
        <w:br/>
        <w:t>C --&gt; D{Regulator Request?}</w:t>
        <w:br/>
        <w:t>D -- Yes --&gt; E[Export Evidence Pack]</w:t>
        <w:br/>
        <w:t>D -- No --&gt; F[Archive]</w:t>
        <w:br/>
        <w:t>E --&gt; F</w:t>
        <w:br/>
        <w:t>```</w:t>
      </w:r>
    </w:p>
    <w:p>
      <w:pPr>
        <w:pStyle w:val="Heading1"/>
      </w:pPr>
      <w:r>
        <w:t>7. RACI（职责矩阵）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活动</w:t>
            </w:r>
          </w:p>
        </w:tc>
        <w:tc>
          <w:tcPr>
            <w:tcW w:type="dxa" w:w="1234"/>
          </w:tcPr>
          <w:p>
            <w:r>
              <w:t>Board</w:t>
            </w:r>
          </w:p>
        </w:tc>
        <w:tc>
          <w:tcPr>
            <w:tcW w:type="dxa" w:w="1234"/>
          </w:tcPr>
          <w:p>
            <w:r>
              <w:t>Compliance</w:t>
            </w:r>
          </w:p>
        </w:tc>
        <w:tc>
          <w:tcPr>
            <w:tcW w:type="dxa" w:w="1234"/>
          </w:tcPr>
          <w:p>
            <w:r>
              <w:t>Operations</w:t>
            </w:r>
          </w:p>
        </w:tc>
        <w:tc>
          <w:tcPr>
            <w:tcW w:type="dxa" w:w="1234"/>
          </w:tcPr>
          <w:p>
            <w:r>
              <w:t>Technology</w:t>
            </w:r>
          </w:p>
        </w:tc>
        <w:tc>
          <w:tcPr>
            <w:tcW w:type="dxa" w:w="1234"/>
          </w:tcPr>
          <w:p>
            <w:r>
              <w:t>Internal Audit</w:t>
            </w:r>
          </w:p>
        </w:tc>
        <w:tc>
          <w:tcPr>
            <w:tcW w:type="dxa" w:w="1234"/>
          </w:tcPr>
          <w:p>
            <w:r>
              <w:t>Client</w:t>
            </w:r>
          </w:p>
        </w:tc>
      </w:tr>
      <w:tr>
        <w:tc>
          <w:tcPr>
            <w:tcW w:type="dxa" w:w="1234"/>
          </w:tcPr>
          <w:p>
            <w:r>
              <w:t>反 tipping-off 案件隔离控制 政策与关键参数批准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反 tipping-off 案件隔离控制 核心控制执行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反 tipping-off 案件隔离控制 监控/对账/周期复核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反 tipping-off 案件隔离控制 关键门禁/系统强制控制（如适用）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反 tipping-off 案件隔离控制 异常/升级处置与通知（如适用）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证据留存与抽检响应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</w:tbl>
    <w:p/>
    <w:p>
      <w:pPr>
        <w:pStyle w:val="Heading1"/>
      </w:pPr>
      <w:r>
        <w:t>8. 证据与留存要求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证据项</w:t>
            </w:r>
          </w:p>
        </w:tc>
        <w:tc>
          <w:tcPr>
            <w:tcW w:type="dxa" w:w="1728"/>
          </w:tcPr>
          <w:p>
            <w:r>
              <w:t>最低内容</w:t>
            </w:r>
          </w:p>
        </w:tc>
        <w:tc>
          <w:tcPr>
            <w:tcW w:type="dxa" w:w="1728"/>
          </w:tcPr>
          <w:p>
            <w:r>
              <w:t>形成时点</w:t>
            </w:r>
          </w:p>
        </w:tc>
        <w:tc>
          <w:tcPr>
            <w:tcW w:type="dxa" w:w="1728"/>
          </w:tcPr>
          <w:p>
            <w:r>
              <w:t>留存要求</w:t>
            </w:r>
          </w:p>
        </w:tc>
        <w:tc>
          <w:tcPr>
            <w:tcW w:type="dxa" w:w="1728"/>
          </w:tcPr>
          <w:p>
            <w:r>
              <w:t>条款锚点</w:t>
            </w:r>
          </w:p>
        </w:tc>
      </w:tr>
      <w:tr>
        <w:tc>
          <w:tcPr>
            <w:tcW w:type="dxa" w:w="1728"/>
          </w:tcPr>
          <w:p>
            <w:r>
              <w:t>政策/流程文件</w:t>
            </w:r>
          </w:p>
        </w:tc>
        <w:tc>
          <w:tcPr>
            <w:tcW w:type="dxa" w:w="1728"/>
          </w:tcPr>
          <w:p>
            <w:r>
              <w:t>适用范围、关键控制点、版本号、批准人/时间</w:t>
            </w:r>
          </w:p>
        </w:tc>
        <w:tc>
          <w:tcPr>
            <w:tcW w:type="dxa" w:w="1728"/>
          </w:tcPr>
          <w:p>
            <w:r>
              <w:t>发布/更新时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C1/C2/C10</w:t>
            </w:r>
          </w:p>
        </w:tc>
      </w:tr>
      <w:tr>
        <w:tc>
          <w:tcPr>
            <w:tcW w:type="dxa" w:w="1728"/>
          </w:tcPr>
          <w:p>
            <w:r>
              <w:t>核心执行记录</w:t>
            </w:r>
          </w:p>
        </w:tc>
        <w:tc>
          <w:tcPr>
            <w:tcW w:type="dxa" w:w="1728"/>
          </w:tcPr>
          <w:p>
            <w:r>
              <w:t>关键动作、输入输出、操作者、时间戳</w:t>
            </w:r>
          </w:p>
        </w:tc>
        <w:tc>
          <w:tcPr>
            <w:tcW w:type="dxa" w:w="1728"/>
          </w:tcPr>
          <w:p>
            <w:r>
              <w:t>执行时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C3/C4/C10</w:t>
            </w:r>
          </w:p>
        </w:tc>
      </w:tr>
      <w:tr>
        <w:tc>
          <w:tcPr>
            <w:tcW w:type="dxa" w:w="1728"/>
          </w:tcPr>
          <w:p>
            <w:r>
              <w:t>异常与升级处置记录</w:t>
            </w:r>
          </w:p>
        </w:tc>
        <w:tc>
          <w:tcPr>
            <w:tcW w:type="dxa" w:w="1728"/>
          </w:tcPr>
          <w:p>
            <w:r>
              <w:t>触发条件、升级链、处置结论、复核人</w:t>
            </w:r>
          </w:p>
        </w:tc>
        <w:tc>
          <w:tcPr>
            <w:tcW w:type="dxa" w:w="1728"/>
          </w:tcPr>
          <w:p>
            <w:r>
              <w:t>异常发生/关闭时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C5/C6/C10</w:t>
            </w:r>
          </w:p>
        </w:tc>
      </w:tr>
      <w:tr>
        <w:tc>
          <w:tcPr>
            <w:tcW w:type="dxa" w:w="1728"/>
          </w:tcPr>
          <w:p>
            <w:r>
              <w:t>监控/复核报告</w:t>
            </w:r>
          </w:p>
        </w:tc>
        <w:tc>
          <w:tcPr>
            <w:tcW w:type="dxa" w:w="1728"/>
          </w:tcPr>
          <w:p>
            <w:r>
              <w:t>监控指标、覆盖范围、差异项、整改结论</w:t>
            </w:r>
          </w:p>
        </w:tc>
        <w:tc>
          <w:tcPr>
            <w:tcW w:type="dxa" w:w="1728"/>
          </w:tcPr>
          <w:p>
            <w:r>
              <w:t>周期复核时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C7/C10</w:t>
            </w:r>
          </w:p>
        </w:tc>
      </w:tr>
      <w:tr>
        <w:tc>
          <w:tcPr>
            <w:tcW w:type="dxa" w:w="1728"/>
          </w:tcPr>
          <w:p>
            <w:r>
              <w:t>监管抽检导出记录</w:t>
            </w:r>
          </w:p>
        </w:tc>
        <w:tc>
          <w:tcPr>
            <w:tcW w:type="dxa" w:w="1728"/>
          </w:tcPr>
          <w:p>
            <w:r>
              <w:t>导出范围、导出人、导出时间、用途</w:t>
            </w:r>
          </w:p>
        </w:tc>
        <w:tc>
          <w:tcPr>
            <w:tcW w:type="dxa" w:w="1728"/>
          </w:tcPr>
          <w:p>
            <w:r>
              <w:t>抽检/请求时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C9/C10</w:t>
            </w:r>
          </w:p>
        </w:tc>
      </w:tr>
    </w:tbl>
    <w:p/>
    <w:p>
      <w:pPr>
        <w:pStyle w:val="Heading1"/>
      </w:pPr>
      <w:r>
        <w:t>9. 时效与频率要求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控制主题</w:t>
            </w:r>
          </w:p>
        </w:tc>
        <w:tc>
          <w:tcPr>
            <w:tcW w:type="dxa" w:w="2160"/>
          </w:tcPr>
          <w:p>
            <w:r>
              <w:t>要求</w:t>
            </w:r>
          </w:p>
        </w:tc>
        <w:tc>
          <w:tcPr>
            <w:tcW w:type="dxa" w:w="2160"/>
          </w:tcPr>
          <w:p>
            <w:r>
              <w:t>频率/触发</w:t>
            </w:r>
          </w:p>
        </w:tc>
        <w:tc>
          <w:tcPr>
            <w:tcW w:type="dxa" w:w="2160"/>
          </w:tcPr>
          <w:p>
            <w:r>
              <w:t>条款锚点</w:t>
            </w:r>
          </w:p>
        </w:tc>
      </w:tr>
      <w:tr>
        <w:tc>
          <w:tcPr>
            <w:tcW w:type="dxa" w:w="2160"/>
          </w:tcPr>
          <w:p>
            <w:r>
              <w:t>核心控制执行</w:t>
            </w:r>
          </w:p>
        </w:tc>
        <w:tc>
          <w:tcPr>
            <w:tcW w:type="dxa" w:w="2160"/>
          </w:tcPr>
          <w:p>
            <w:r>
              <w:t>按适用条款要求及时执行并留痕</w:t>
            </w:r>
          </w:p>
        </w:tc>
        <w:tc>
          <w:tcPr>
            <w:tcW w:type="dxa" w:w="2160"/>
          </w:tcPr>
          <w:p>
            <w:r>
              <w:t>按事件/每日（按条款）</w:t>
            </w:r>
          </w:p>
        </w:tc>
        <w:tc>
          <w:tcPr>
            <w:tcW w:type="dxa" w:w="2160"/>
          </w:tcPr>
          <w:p>
            <w:r>
              <w:t>C3/C4</w:t>
            </w:r>
          </w:p>
        </w:tc>
      </w:tr>
      <w:tr>
        <w:tc>
          <w:tcPr>
            <w:tcW w:type="dxa" w:w="2160"/>
          </w:tcPr>
          <w:p>
            <w:r>
              <w:t>异常处置</w:t>
            </w:r>
          </w:p>
        </w:tc>
        <w:tc>
          <w:tcPr>
            <w:tcW w:type="dxa" w:w="2160"/>
          </w:tcPr>
          <w:p>
            <w:r>
              <w:t>异常差异及时升级、纠偏并闭环</w:t>
            </w:r>
          </w:p>
        </w:tc>
        <w:tc>
          <w:tcPr>
            <w:tcW w:type="dxa" w:w="2160"/>
          </w:tcPr>
          <w:p>
            <w:r>
              <w:t>按触发</w:t>
            </w:r>
          </w:p>
        </w:tc>
        <w:tc>
          <w:tcPr>
            <w:tcW w:type="dxa" w:w="2160"/>
          </w:tcPr>
          <w:p>
            <w:r>
              <w:t>C5/C6</w:t>
            </w:r>
          </w:p>
        </w:tc>
      </w:tr>
      <w:tr>
        <w:tc>
          <w:tcPr>
            <w:tcW w:type="dxa" w:w="2160"/>
          </w:tcPr>
          <w:p>
            <w:r>
              <w:t>监控与复核</w:t>
            </w:r>
          </w:p>
        </w:tc>
        <w:tc>
          <w:tcPr>
            <w:tcW w:type="dxa" w:w="2160"/>
          </w:tcPr>
          <w:p>
            <w:r>
              <w:t>按条款要求开展监控/复核</w:t>
            </w:r>
          </w:p>
        </w:tc>
        <w:tc>
          <w:tcPr>
            <w:tcW w:type="dxa" w:w="2160"/>
          </w:tcPr>
          <w:p>
            <w:r>
              <w:t>按条款（可能每日/每月/至少年度）</w:t>
            </w:r>
          </w:p>
        </w:tc>
        <w:tc>
          <w:tcPr>
            <w:tcW w:type="dxa" w:w="2160"/>
          </w:tcPr>
          <w:p>
            <w:r>
              <w:t>C7</w:t>
            </w:r>
          </w:p>
        </w:tc>
      </w:tr>
      <w:tr>
        <w:tc>
          <w:tcPr>
            <w:tcW w:type="dxa" w:w="2160"/>
          </w:tcPr>
          <w:p>
            <w:r>
              <w:t>通知/对账/报送</w:t>
            </w:r>
          </w:p>
        </w:tc>
        <w:tc>
          <w:tcPr>
            <w:tcW w:type="dxa" w:w="2160"/>
          </w:tcPr>
          <w:p>
            <w:r>
              <w:t>需要时按条款时效完成通知/对账/报送</w:t>
            </w:r>
          </w:p>
        </w:tc>
        <w:tc>
          <w:tcPr>
            <w:tcW w:type="dxa" w:w="2160"/>
          </w:tcPr>
          <w:p>
            <w:r>
              <w:t>按触发/按周期</w:t>
            </w:r>
          </w:p>
        </w:tc>
        <w:tc>
          <w:tcPr>
            <w:tcW w:type="dxa" w:w="2160"/>
          </w:tcPr>
          <w:p>
            <w:r>
              <w:t>C8</w:t>
            </w:r>
          </w:p>
        </w:tc>
      </w:tr>
      <w:tr>
        <w:tc>
          <w:tcPr>
            <w:tcW w:type="dxa" w:w="2160"/>
          </w:tcPr>
          <w:p>
            <w:r>
              <w:t>记录保留</w:t>
            </w:r>
          </w:p>
        </w:tc>
        <w:tc>
          <w:tcPr>
            <w:tcW w:type="dxa" w:w="2160"/>
          </w:tcPr>
          <w:p>
            <w:r>
              <w:t>不少于8年（如适用）</w:t>
            </w:r>
          </w:p>
        </w:tc>
        <w:tc>
          <w:tcPr>
            <w:tcW w:type="dxa" w:w="2160"/>
          </w:tcPr>
          <w:p>
            <w:r>
              <w:t>持续</w:t>
            </w:r>
          </w:p>
        </w:tc>
        <w:tc>
          <w:tcPr>
            <w:tcW w:type="dxa" w:w="2160"/>
          </w:tcPr>
          <w:p>
            <w:r>
              <w:t>C10</w:t>
            </w:r>
          </w:p>
        </w:tc>
      </w:tr>
    </w:tbl>
    <w:p/>
    <w:p>
      <w:pPr>
        <w:pStyle w:val="Heading1"/>
      </w:pPr>
      <w:r>
        <w:t>10. 提交前自查清单</w:t>
      </w:r>
    </w:p>
    <w:p>
      <w:r>
        <w:t>1. 是否已定义并批准 反 tipping-off 案件隔离控制 的政策/流程并纳入版本管理？</w:t>
      </w:r>
    </w:p>
    <w:p>
      <w:r>
        <w:t>2. 是否核心控制执行覆盖适用条款并形成可追溯记录？</w:t>
      </w:r>
    </w:p>
    <w:p>
      <w:r>
        <w:t>3. 是否异常/升级处置有闭环并留存处置证据？</w:t>
      </w:r>
    </w:p>
    <w:p>
      <w:r>
        <w:t>4. 是否监控/复核频率满足条款要求（如每日/每月/至少年度）？</w:t>
      </w:r>
    </w:p>
    <w:p>
      <w:r>
        <w:t>5. 是否通知/对账/报送（如适用）满足监管时效并留痕？</w:t>
      </w:r>
    </w:p>
    <w:p>
      <w:r>
        <w:t>6. 是否可在监管抽检时导出完整证据包并满足留存要求（&gt;=8年或按条款）？</w:t>
      </w:r>
    </w:p>
    <w:p>
      <w:pPr>
        <w:pStyle w:val="Heading1"/>
      </w:pPr>
      <w:r>
        <w:t>11. 常见不符合项</w:t>
      </w:r>
    </w:p>
    <w:p>
      <w:pPr>
        <w:pStyle w:val="ListBullet"/>
      </w:pPr>
      <w:r>
        <w:t>反 tipping-off 案件隔离控制 核心控制未按条款时效执行，形成持续合规缺口。</w:t>
      </w:r>
    </w:p>
    <w:p>
      <w:pPr>
        <w:pStyle w:val="ListBullet"/>
      </w:pPr>
      <w:r>
        <w:t>关键证据缺失或无法回放，导致控制不可审计。</w:t>
      </w:r>
    </w:p>
    <w:p>
      <w:pPr>
        <w:pStyle w:val="ListBullet"/>
      </w:pPr>
      <w:r>
        <w:t>职责分配不清或同人兼任关键审核环节，形成独立性缺陷。</w:t>
      </w:r>
    </w:p>
    <w:p>
      <w:pPr>
        <w:pStyle w:val="ListBullet"/>
      </w:pPr>
      <w:r>
        <w:t>异常/差异未闭环或未升级处置，风险长期暴露。</w:t>
      </w:r>
    </w:p>
    <w:p>
      <w:pPr>
        <w:pStyle w:val="ListBullet"/>
      </w:pPr>
      <w:r>
        <w:t>记录留存期限不满足要求（如 &gt;=8年 / &gt;=1年），无法满足监管抽检。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