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CAP-033_Audit_Compliance_Guide_v2</w:t>
      </w:r>
    </w:p>
    <w:p>
      <w:pPr>
        <w:jc w:val="center"/>
      </w:pPr>
      <w:r>
        <w:t>市场滥用监控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CAP-033</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Broker-Dealer Part I.A; Compliance &amp; Risk Part I.D; Market Conduct Part VI.A; Market Conduct Part VI.B; Company Part II.C; Company Part II.B</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CAP-033（市场滥用监控）在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"the prohibition, detection, prevention and/or deterrence of Market Offences and any other abusive practices within their business or using their services including, but not limited to , relevant internal rules, compliance program mes, sanctioning policies and..."</w:t>
            </w:r>
          </w:p>
        </w:tc>
        <w:tc>
          <w:tcPr>
            <w:tcW w:type="dxa" w:w="2160"/>
          </w:tcPr>
          <w:p>
            <w:r>
              <w:t>Broker-Dealer / Part I.A.1(a) / Rule I.A.1(a) / p4</w:t>
            </w:r>
          </w:p>
        </w:tc>
        <w:tc>
          <w:tcPr>
            <w:tcW w:type="dxa" w:w="2160"/>
          </w:tcPr>
          <w:p>
            <w:r>
              <w:t>市场滥用监控：禁止事项（见英文原文）。</w:t>
            </w:r>
          </w:p>
        </w:tc>
      </w:tr>
      <w:tr>
        <w:tc>
          <w:tcPr>
            <w:tcW w:type="dxa" w:w="2160"/>
          </w:tcPr>
          <w:p>
            <w:r>
              <w:t>C2</w:t>
            </w:r>
          </w:p>
        </w:tc>
        <w:tc>
          <w:tcPr>
            <w:tcW w:type="dxa" w:w="2160"/>
          </w:tcPr>
          <w:p>
            <w:r>
              <w:t>"AML/CFT, market abuse &amp; fraud: Risks arising from the VASP’s susceptibility to financial crime risk arising from money laundering, market abuse, terrorism financing, and fraud, including but not limited to non -compliance with relevant requirements in this..."</w:t>
            </w:r>
          </w:p>
        </w:tc>
        <w:tc>
          <w:tcPr>
            <w:tcW w:type="dxa" w:w="2160"/>
          </w:tcPr>
          <w:p>
            <w:r>
              <w:t>Compliance &amp; Risk / Part I.D.5(c)(i) / Rule I.D.5(c)(i) / p14</w:t>
            </w:r>
          </w:p>
        </w:tc>
        <w:tc>
          <w:tcPr>
            <w:tcW w:type="dxa" w:w="2160"/>
          </w:tcPr>
          <w:p>
            <w:r>
              <w:t>市场滥用监控：控制要求（见英文原文）。</w:t>
            </w:r>
          </w:p>
        </w:tc>
      </w:tr>
      <w:tr>
        <w:tc>
          <w:tcPr>
            <w:tcW w:type="dxa" w:w="2160"/>
          </w:tcPr>
          <w:p>
            <w:r>
              <w:t>C3</w:t>
            </w:r>
          </w:p>
        </w:tc>
        <w:tc>
          <w:tcPr>
            <w:tcW w:type="dxa" w:w="2160"/>
          </w:tcPr>
          <w:p>
            <w:r>
              <w:t>"VASPs must maintain complete and up-to-date lists of all Entities, including their Board, Staff, Group, advisors, accountants or other third-party agents and service providers, and those of their Group, that have or may have access to Inside Information in..."</w:t>
            </w:r>
          </w:p>
        </w:tc>
        <w:tc>
          <w:tcPr>
            <w:tcW w:type="dxa" w:w="2160"/>
          </w:tcPr>
          <w:p>
            <w:r>
              <w:t>Market Conduct / Part VI.A.1 / Rule VI.A.1 / p14</w:t>
            </w:r>
          </w:p>
        </w:tc>
        <w:tc>
          <w:tcPr>
            <w:tcW w:type="dxa" w:w="2160"/>
          </w:tcPr>
          <w:p>
            <w:r>
              <w:t>市场滥用监控：控制要求（见英文原文）。</w:t>
            </w:r>
          </w:p>
        </w:tc>
      </w:tr>
      <w:tr>
        <w:tc>
          <w:tcPr>
            <w:tcW w:type="dxa" w:w="2160"/>
          </w:tcPr>
          <w:p>
            <w:r>
              <w:t>C4</w:t>
            </w:r>
          </w:p>
        </w:tc>
        <w:tc>
          <w:tcPr>
            <w:tcW w:type="dxa" w:w="2160"/>
          </w:tcPr>
          <w:p>
            <w:r>
              <w:t>"VASPs shall retain the Insider List for a period of at least eight (8) years after it is drawn up or updated and shall provide VARA with any Insider List upon request."</w:t>
            </w:r>
          </w:p>
        </w:tc>
        <w:tc>
          <w:tcPr>
            <w:tcW w:type="dxa" w:w="2160"/>
          </w:tcPr>
          <w:p>
            <w:r>
              <w:t>Market Conduct / Part VI.A.2 / Rule VI.A.2 / p14</w:t>
            </w:r>
          </w:p>
        </w:tc>
        <w:tc>
          <w:tcPr>
            <w:tcW w:type="dxa" w:w="2160"/>
          </w:tcPr>
          <w:p>
            <w:r>
              <w:t>市场滥用监控：控制要求（见英文原文）。</w:t>
            </w:r>
          </w:p>
        </w:tc>
      </w:tr>
      <w:tr>
        <w:tc>
          <w:tcPr>
            <w:tcW w:type="dxa" w:w="2160"/>
          </w:tcPr>
          <w:p>
            <w:r>
              <w:t>C5</w:t>
            </w:r>
          </w:p>
        </w:tc>
        <w:tc>
          <w:tcPr>
            <w:tcW w:type="dxa" w:w="2160"/>
          </w:tcPr>
          <w:p>
            <w:r>
              <w:t>"All Board members and Staff shall obtain written approval from the VASP prior to taking any of the following actions which is reasonably likely to cause actual or potential conflicts of interest— a. opening, modifying or closing any Virtual Asset positions..."</w:t>
            </w:r>
          </w:p>
        </w:tc>
        <w:tc>
          <w:tcPr>
            <w:tcW w:type="dxa" w:w="2160"/>
          </w:tcPr>
          <w:p>
            <w:r>
              <w:t>Market Conduct / Part VI.B.2 / Rule VI.B.2 / p15</w:t>
            </w:r>
          </w:p>
        </w:tc>
        <w:tc>
          <w:tcPr>
            <w:tcW w:type="dxa" w:w="2160"/>
          </w:tcPr>
          <w:p>
            <w:r>
              <w:t>市场滥用监控：控制要求（见英文原文）。</w:t>
            </w:r>
          </w:p>
        </w:tc>
      </w:tr>
      <w:tr>
        <w:tc>
          <w:tcPr>
            <w:tcW w:type="dxa" w:w="2160"/>
          </w:tcPr>
          <w:p>
            <w:r>
              <w:t>C6</w:t>
            </w:r>
          </w:p>
        </w:tc>
        <w:tc>
          <w:tcPr>
            <w:tcW w:type="dxa" w:w="2160"/>
          </w:tcPr>
          <w:p>
            <w:r>
              <w:t>"VASPs shall, at least every six (6) months, require Board members and Staff to notify them of— a. in relation to all Virtual Asset positions held directly or indirectly on their own account— i."</w:t>
            </w:r>
          </w:p>
        </w:tc>
        <w:tc>
          <w:tcPr>
            <w:tcW w:type="dxa" w:w="2160"/>
          </w:tcPr>
          <w:p>
            <w:r>
              <w:t>Market Conduct / Part VI.B.3 / Rule VI.B.3 / p15</w:t>
            </w:r>
          </w:p>
        </w:tc>
        <w:tc>
          <w:tcPr>
            <w:tcW w:type="dxa" w:w="2160"/>
          </w:tcPr>
          <w:p>
            <w:r>
              <w:t>市场滥用监控：控制要求（见英文原文）。</w:t>
            </w:r>
          </w:p>
        </w:tc>
      </w:tr>
      <w:tr>
        <w:tc>
          <w:tcPr>
            <w:tcW w:type="dxa" w:w="2160"/>
          </w:tcPr>
          <w:p>
            <w:r>
              <w:t>C7</w:t>
            </w:r>
          </w:p>
        </w:tc>
        <w:tc>
          <w:tcPr>
            <w:tcW w:type="dxa" w:w="2160"/>
          </w:tcPr>
          <w:p>
            <w:r>
              <w:t>"VASPs shall establish and implement appropriate written internal policies and procedures for the identification and management or resolution (as applicable ) of any actual or potential conflicts of interest. VASPs shall maintain a special register for..."</w:t>
            </w:r>
          </w:p>
        </w:tc>
        <w:tc>
          <w:tcPr>
            <w:tcW w:type="dxa" w:w="2160"/>
          </w:tcPr>
          <w:p>
            <w:r>
              <w:t>Company / Part II.C.3 / Rule II.C.3 / p15</w:t>
            </w:r>
          </w:p>
        </w:tc>
        <w:tc>
          <w:tcPr>
            <w:tcW w:type="dxa" w:w="2160"/>
          </w:tcPr>
          <w:p>
            <w:r>
              <w:t>市场滥用监控：控制要求（见英文原文）。</w:t>
            </w:r>
          </w:p>
        </w:tc>
      </w:tr>
      <w:tr>
        <w:tc>
          <w:tcPr>
            <w:tcW w:type="dxa" w:w="2160"/>
          </w:tcPr>
          <w:p>
            <w:r>
              <w:t>C8</w:t>
            </w:r>
          </w:p>
        </w:tc>
        <w:tc>
          <w:tcPr>
            <w:tcW w:type="dxa" w:w="2160"/>
          </w:tcPr>
          <w:p>
            <w:r>
              <w:t>"The Board shall ensure that operational duties including sales, dealing, accounting , settlement and safekeeping of Virtual Assets are effectively segregated to minimise potential for conflicts, errors or abuses."</w:t>
            </w:r>
          </w:p>
        </w:tc>
        <w:tc>
          <w:tcPr>
            <w:tcW w:type="dxa" w:w="2160"/>
          </w:tcPr>
          <w:p>
            <w:r>
              <w:t>Company / Part II.B.2 / Rule II.B.2 / p14</w:t>
            </w:r>
          </w:p>
        </w:tc>
        <w:tc>
          <w:tcPr>
            <w:tcW w:type="dxa" w:w="2160"/>
          </w:tcPr>
          <w:p>
            <w:r>
              <w:t>市场滥用监控：控制要求（见英文原文）。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市场滥用监控：相关活动必须形成可审计记录。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市场滥用监控：相关证据与记录至少保留八(8)年。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市场滥用监控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市场滥用监控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市场滥用监控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市场滥用监控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市场滥用监控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F-AUD-033-001 — 市场滥用监控 主流程</w:t>
      </w:r>
    </w:p>
    <w:p>
      <w:r>
        <w:t>requirement_refs: C1/C2/C3/C4</w:t>
      </w:r>
    </w:p>
    <w:p>
      <w:r>
        <w:t>ASCII 流程图：</w:t>
      </w:r>
    </w:p>
    <w:p>
      <w:r>
        <w:t>[Start] -&gt; [Policy Approved] -&gt; [Execute 市场滥用监控]</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F-AUD-033-002 — 市场滥用监控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F-AUD-033-003 — 市场滥用监控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市场滥用监控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市场滥用监控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市场滥用监控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市场滥用监控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市场滥用监控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市场滥用监控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市场滥用监控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