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22222"/>
          <w:sz w:val="24"/>
        </w:rPr>
        <w:t>CONFIDENTIAL</w:t>
      </w:r>
    </w:p>
    <w:p>
      <w:pPr>
        <w:jc w:val="center"/>
      </w:pPr>
      <w:r>
        <w:rPr>
          <w:b/>
          <w:sz w:val="36"/>
        </w:rPr>
        <w:t>CAP-035_Audit_Compliance_Guide_v2</w:t>
      </w:r>
    </w:p>
    <w:p>
      <w:pPr>
        <w:jc w:val="center"/>
      </w:pPr>
      <w:r>
        <w:rPr>
          <w:sz w:val="22"/>
        </w:rPr>
        <w:t>身份认证与访问控制（IAM/MFA）— 合规可审计版本</w:t>
      </w:r>
    </w:p>
    <w:p>
      <w:pPr>
        <w:jc w:val="center"/>
      </w:pPr>
      <w:r>
        <w:t>Prepared for: Virtual Assets Regulatory Authority (VARA), Dubai</w:t>
      </w:r>
    </w:p>
    <w:p>
      <w:pPr>
        <w:jc w:val="center"/>
      </w:pPr>
      <w:r>
        <w:t>Application Type: Broker-Dealer Licence (Fiat ↔ Virtual Asset Exchange)</w:t>
      </w:r>
    </w:p>
    <w:p>
      <w:pPr>
        <w:pStyle w:val="Heading1"/>
      </w:pPr>
      <w:r>
        <w:t>1. 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cap_id</w:t>
            </w:r>
          </w:p>
        </w:tc>
        <w:tc>
          <w:tcPr>
            <w:tcW w:type="dxa" w:w="4320"/>
          </w:tcPr>
          <w:p>
            <w:r>
              <w:t>CAP-035</w:t>
            </w:r>
          </w:p>
        </w:tc>
      </w:tr>
      <w:tr>
        <w:tc>
          <w:tcPr>
            <w:tcW w:type="dxa" w:w="4320"/>
          </w:tcPr>
          <w:p>
            <w:r>
              <w:t>doc_type</w:t>
            </w:r>
          </w:p>
        </w:tc>
        <w:tc>
          <w:tcPr>
            <w:tcW w:type="dxa" w:w="4320"/>
          </w:tcPr>
          <w:p>
            <w:r>
              <w:t>audit_compliance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2026-02-09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Compliance + Technology</w:t>
            </w:r>
          </w:p>
        </w:tc>
      </w:tr>
      <w:tr>
        <w:tc>
          <w:tcPr>
            <w:tcW w:type="dxa" w:w="4320"/>
          </w:tcPr>
          <w:p>
            <w:r>
              <w:t>language_policy</w:t>
            </w:r>
          </w:p>
        </w:tc>
        <w:tc>
          <w:tcPr>
            <w:tcW w:type="dxa" w:w="4320"/>
          </w:tcPr>
          <w:p>
            <w:r>
              <w:t>中文主体 + 英文原文引用</w:t>
            </w:r>
          </w:p>
        </w:tc>
      </w:tr>
      <w:tr>
        <w:tc>
          <w:tcPr>
            <w:tcW w:type="dxa" w:w="4320"/>
          </w:tcPr>
          <w:p>
            <w:r>
              <w:t>citation_style</w:t>
            </w:r>
          </w:p>
        </w:tc>
        <w:tc>
          <w:tcPr>
            <w:tcW w:type="dxa" w:w="4320"/>
          </w:tcPr>
          <w:p>
            <w:r>
              <w:t>Rulebook/Part/Rule/page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CONFIDENTIAL — For Regulatory Review Only</w:t>
            </w:r>
          </w:p>
        </w:tc>
      </w:tr>
    </w:tbl>
    <w:p/>
    <w:p>
      <w:pPr>
        <w:pStyle w:val="Heading1"/>
      </w:pPr>
      <w:r>
        <w:t>2. 文档接口契约（CAPDocStructure）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章节/对象</w:t>
            </w:r>
          </w:p>
        </w:tc>
        <w:tc>
          <w:tcPr>
            <w:tcW w:type="dxa" w:w="2880"/>
          </w:tcPr>
          <w:p>
            <w:r>
              <w:t>必选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CAPDocMeta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文档元信息（cap_id/doc_type/version/date/scope）</w:t>
            </w:r>
          </w:p>
        </w:tc>
      </w:tr>
      <w:tr>
        <w:tc>
          <w:tcPr>
            <w:tcW w:type="dxa" w:w="2880"/>
          </w:tcPr>
          <w:p>
            <w:r>
              <w:t>FlowchartSpec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每个流程图绑定 flow_id、ASCII、Mermaid、条款锚点</w:t>
            </w:r>
          </w:p>
        </w:tc>
      </w:tr>
      <w:tr>
        <w:tc>
          <w:tcPr>
            <w:tcW w:type="dxa" w:w="2880"/>
          </w:tcPr>
          <w:p>
            <w:r>
              <w:t>FigureArtifact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图片图表工件（PNG 路径、尺寸、对应流程）</w:t>
            </w:r>
          </w:p>
        </w:tc>
      </w:tr>
      <w:tr>
        <w:tc>
          <w:tcPr>
            <w:tcW w:type="dxa" w:w="2880"/>
          </w:tcPr>
          <w:p>
            <w:r>
              <w:t>Citations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每条关键控制至少 1 条英文原文 + 定位</w:t>
            </w:r>
          </w:p>
        </w:tc>
      </w:tr>
    </w:tbl>
    <w:p/>
    <w:p>
      <w:pPr>
        <w:pStyle w:val="Heading1"/>
      </w:pPr>
      <w:r>
        <w:t>3. 目的与范围</w:t>
      </w:r>
    </w:p>
    <w:p>
      <w:pPr>
        <w:pStyle w:val="ListBullet"/>
      </w:pPr>
      <w:r>
        <w:t>本文件定义 CAP-035（身份认证与访问控制，IAM/MFA）在 VARA 监管口径下的控制要求与审计证据路径。</w:t>
      </w:r>
    </w:p>
    <w:p>
      <w:pPr>
        <w:pStyle w:val="ListBullet"/>
      </w:pPr>
      <w:r>
        <w:t>范围覆盖客户端认证、会话控制、高风险操作增强验证、员工访问生命周期、SoD 职责分离、日志留存与监管抽检可得性。</w:t>
      </w:r>
    </w:p>
    <w:p>
      <w:pPr>
        <w:pStyle w:val="ListBullet"/>
      </w:pPr>
      <w:r>
        <w:t>本文件为监管提交与答辩用途，不构成系统上线承诺或实现细节说明。</w:t>
      </w:r>
    </w:p>
    <w:p>
      <w:pPr>
        <w:pStyle w:val="Heading1"/>
      </w:pPr>
      <w:r>
        <w:t>4. 监管依据（英文原文摘录 + 定位）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Quote (EN)</w:t>
            </w:r>
          </w:p>
        </w:tc>
        <w:tc>
          <w:tcPr>
            <w:tcW w:type="dxa" w:w="2160"/>
          </w:tcPr>
          <w:p>
            <w:r>
              <w:t>定位</w:t>
            </w:r>
          </w:p>
        </w:tc>
        <w:tc>
          <w:tcPr>
            <w:tcW w:type="dxa" w:w="2160"/>
          </w:tcPr>
          <w:p>
            <w:r>
              <w:t>监管含义(中文)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"access controls"</w:t>
            </w:r>
          </w:p>
        </w:tc>
        <w:tc>
          <w:tcPr>
            <w:tcW w:type="dxa" w:w="2160"/>
          </w:tcPr>
          <w:p>
            <w:r>
              <w:t>Technology &amp; Information / Part I.B.3(c) / Rule I.B.3(c) / p7</w:t>
            </w:r>
          </w:p>
        </w:tc>
        <w:tc>
          <w:tcPr>
            <w:tcW w:type="dxa" w:w="2160"/>
          </w:tcPr>
          <w:p>
            <w:r>
              <w:t>网络与系统访问控制是最低必备控制。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"considering multi-factor authentication ... transactions"</w:t>
            </w:r>
          </w:p>
        </w:tc>
        <w:tc>
          <w:tcPr>
            <w:tcW w:type="dxa" w:w="2160"/>
          </w:tcPr>
          <w:p>
            <w:r>
              <w:t>Technology &amp; Information / Part I.B.3(i) / Rule I.B.3(i) / p7</w:t>
            </w:r>
          </w:p>
        </w:tc>
        <w:tc>
          <w:tcPr>
            <w:tcW w:type="dxa" w:w="2160"/>
          </w:tcPr>
          <w:p>
            <w:r>
              <w:t>高风险交易必须采用增强认证。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"client authentication and session controls ..."</w:t>
            </w:r>
          </w:p>
        </w:tc>
        <w:tc>
          <w:tcPr>
            <w:tcW w:type="dxa" w:w="2160"/>
          </w:tcPr>
          <w:p>
            <w:r>
              <w:t>Technology &amp; Information / Part I.B.3(j) / Rule I.B.3(j) / p7</w:t>
            </w:r>
          </w:p>
        </w:tc>
        <w:tc>
          <w:tcPr>
            <w:tcW w:type="dxa" w:w="2160"/>
          </w:tcPr>
          <w:p>
            <w:r>
              <w:t>会话控制需覆盖错误次数、超时与密码周期。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"adequate authentication checks when ... account information changes"</w:t>
            </w:r>
          </w:p>
        </w:tc>
        <w:tc>
          <w:tcPr>
            <w:tcW w:type="dxa" w:w="2160"/>
          </w:tcPr>
          <w:p>
            <w:r>
              <w:t>Technology &amp; Information / Part I.B.3(k) / Rule I.B.3(k) / p7</w:t>
            </w:r>
          </w:p>
        </w:tc>
        <w:tc>
          <w:tcPr>
            <w:tcW w:type="dxa" w:w="2160"/>
          </w:tcPr>
          <w:p>
            <w:r>
              <w:t>账户/联系方式变更须执行额外校验。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"strict access management controls ... audit log"</w:t>
            </w:r>
          </w:p>
        </w:tc>
        <w:tc>
          <w:tcPr>
            <w:tcW w:type="dxa" w:w="2160"/>
          </w:tcPr>
          <w:p>
            <w:r>
              <w:t>Technology &amp; Information / Part I.D.2(c) / Rule I.D.2(c) / p9</w:t>
            </w:r>
          </w:p>
        </w:tc>
        <w:tc>
          <w:tcPr>
            <w:tcW w:type="dxa" w:w="2160"/>
          </w:tcPr>
          <w:p>
            <w:r>
              <w:t>密钥及关键权限变更必须留痕。</w:t>
            </w:r>
          </w:p>
        </w:tc>
      </w:tr>
      <w:tr>
        <w:tc>
          <w:tcPr>
            <w:tcW w:type="dxa" w:w="2160"/>
          </w:tcPr>
          <w:p>
            <w:r>
              <w:t>C6</w:t>
            </w:r>
          </w:p>
        </w:tc>
        <w:tc>
          <w:tcPr>
            <w:tcW w:type="dxa" w:w="2160"/>
          </w:tcPr>
          <w:p>
            <w:r>
              <w:t>"immediately revoke a key signatory’s access"</w:t>
            </w:r>
          </w:p>
        </w:tc>
        <w:tc>
          <w:tcPr>
            <w:tcW w:type="dxa" w:w="2160"/>
          </w:tcPr>
          <w:p>
            <w:r>
              <w:t>Technology &amp; Information / Part I.D.2(d) / Rule I.D.2(d) / p10</w:t>
            </w:r>
          </w:p>
        </w:tc>
        <w:tc>
          <w:tcPr>
            <w:tcW w:type="dxa" w:w="2160"/>
          </w:tcPr>
          <w:p>
            <w:r>
              <w:t>离职/撤权需即时生效并可审计。</w:t>
            </w:r>
          </w:p>
        </w:tc>
      </w:tr>
      <w:tr>
        <w:tc>
          <w:tcPr>
            <w:tcW w:type="dxa" w:w="2160"/>
          </w:tcPr>
          <w:p>
            <w:r>
              <w:t>C7</w:t>
            </w:r>
          </w:p>
        </w:tc>
        <w:tc>
          <w:tcPr>
            <w:tcW w:type="dxa" w:w="2160"/>
          </w:tcPr>
          <w:p>
            <w:r>
              <w:t>"access ... only ... demonstrable business need"</w:t>
            </w:r>
          </w:p>
        </w:tc>
        <w:tc>
          <w:tcPr>
            <w:tcW w:type="dxa" w:w="2160"/>
          </w:tcPr>
          <w:p>
            <w:r>
              <w:t>Technology &amp; Information / Part I.D.4 / Rule I.D.4 / p10</w:t>
            </w:r>
          </w:p>
        </w:tc>
        <w:tc>
          <w:tcPr>
            <w:tcW w:type="dxa" w:w="2160"/>
          </w:tcPr>
          <w:p>
            <w:r>
              <w:t>访问授权须以业务必要性为前提。</w:t>
            </w:r>
          </w:p>
        </w:tc>
      </w:tr>
      <w:tr>
        <w:tc>
          <w:tcPr>
            <w:tcW w:type="dxa" w:w="2160"/>
          </w:tcPr>
          <w:p>
            <w:r>
              <w:t>C8</w:t>
            </w:r>
          </w:p>
        </w:tc>
        <w:tc>
          <w:tcPr>
            <w:tcW w:type="dxa" w:w="2160"/>
          </w:tcPr>
          <w:p>
            <w:r>
              <w:t>"multi-factor authentication for all access to systems with cryptographic keys"</w:t>
            </w:r>
          </w:p>
        </w:tc>
        <w:tc>
          <w:tcPr>
            <w:tcW w:type="dxa" w:w="2160"/>
          </w:tcPr>
          <w:p>
            <w:r>
              <w:t>Technology &amp; Information / Schedule 1 B.9 / Guidance B.9 / p23</w:t>
            </w:r>
          </w:p>
        </w:tc>
        <w:tc>
          <w:tcPr>
            <w:tcW w:type="dxa" w:w="2160"/>
          </w:tcPr>
          <w:p>
            <w:r>
              <w:t>关键系统访问应全量采用 MFA。</w:t>
            </w:r>
          </w:p>
        </w:tc>
      </w:tr>
      <w:tr>
        <w:tc>
          <w:tcPr>
            <w:tcW w:type="dxa" w:w="2160"/>
          </w:tcPr>
          <w:p>
            <w:r>
              <w:t>C9</w:t>
            </w:r>
          </w:p>
        </w:tc>
        <w:tc>
          <w:tcPr>
            <w:tcW w:type="dxa" w:w="2160"/>
          </w:tcPr>
          <w:p>
            <w:r>
              <w:t>"prohibition of direct production access"</w:t>
            </w:r>
          </w:p>
        </w:tc>
        <w:tc>
          <w:tcPr>
            <w:tcW w:type="dxa" w:w="2160"/>
          </w:tcPr>
          <w:p>
            <w:r>
              <w:t>Technology &amp; Information / Schedule 1 B.10 / Guidance B.10 / p24</w:t>
            </w:r>
          </w:p>
        </w:tc>
        <w:tc>
          <w:tcPr>
            <w:tcW w:type="dxa" w:w="2160"/>
          </w:tcPr>
          <w:p>
            <w:r>
              <w:t>开发与生产访问应隔离。</w:t>
            </w:r>
          </w:p>
        </w:tc>
      </w:tr>
      <w:tr>
        <w:tc>
          <w:tcPr>
            <w:tcW w:type="dxa" w:w="2160"/>
          </w:tcPr>
          <w:p>
            <w:r>
              <w:t>C10</w:t>
            </w:r>
          </w:p>
        </w:tc>
        <w:tc>
          <w:tcPr>
            <w:tcW w:type="dxa" w:w="2160"/>
          </w:tcPr>
          <w:p>
            <w:r>
              <w:t>"capture all security-relevant events ... minimum of one year"</w:t>
            </w:r>
          </w:p>
        </w:tc>
        <w:tc>
          <w:tcPr>
            <w:tcW w:type="dxa" w:w="2160"/>
          </w:tcPr>
          <w:p>
            <w:r>
              <w:t>Technology &amp; Information / Schedule 1 B.13 / Guidance B.13 / p24</w:t>
            </w:r>
          </w:p>
        </w:tc>
        <w:tc>
          <w:tcPr>
            <w:tcW w:type="dxa" w:w="2160"/>
          </w:tcPr>
          <w:p>
            <w:r>
              <w:t>安全日志至少保留一年。</w:t>
            </w:r>
          </w:p>
        </w:tc>
      </w:tr>
      <w:tr>
        <w:tc>
          <w:tcPr>
            <w:tcW w:type="dxa" w:w="2160"/>
          </w:tcPr>
          <w:p>
            <w:r>
              <w:t>C11</w:t>
            </w:r>
          </w:p>
        </w:tc>
        <w:tc>
          <w:tcPr>
            <w:tcW w:type="dxa" w:w="2160"/>
          </w:tcPr>
          <w:p>
            <w:r>
              <w:t>"internal user activities ... authentication attempts and failures"</w:t>
            </w:r>
          </w:p>
        </w:tc>
        <w:tc>
          <w:tcPr>
            <w:tcW w:type="dxa" w:w="2160"/>
          </w:tcPr>
          <w:p>
            <w:r>
              <w:t>Technology &amp; Information / Schedule 1 C.2 / Guidance C.2 / p25</w:t>
            </w:r>
          </w:p>
        </w:tc>
        <w:tc>
          <w:tcPr>
            <w:tcW w:type="dxa" w:w="2160"/>
          </w:tcPr>
          <w:p>
            <w:r>
              <w:t>需监控内部用户行为与失败认证模式。</w:t>
            </w:r>
          </w:p>
        </w:tc>
      </w:tr>
      <w:tr>
        <w:tc>
          <w:tcPr>
            <w:tcW w:type="dxa" w:w="2160"/>
          </w:tcPr>
          <w:p>
            <w:r>
              <w:t>C12</w:t>
            </w:r>
          </w:p>
        </w:tc>
        <w:tc>
          <w:tcPr>
            <w:tcW w:type="dxa" w:w="2160"/>
          </w:tcPr>
          <w:p>
            <w:r>
              <w:t>"strong multifactor authentication"</w:t>
            </w:r>
          </w:p>
        </w:tc>
        <w:tc>
          <w:tcPr>
            <w:tcW w:type="dxa" w:w="2160"/>
          </w:tcPr>
          <w:p>
            <w:r>
              <w:t>Technology &amp; Information / Schedule 1 D.1 / Guidance D.1 / p26</w:t>
            </w:r>
          </w:p>
        </w:tc>
        <w:tc>
          <w:tcPr>
            <w:tcW w:type="dxa" w:w="2160"/>
          </w:tcPr>
          <w:p>
            <w:r>
              <w:t>客户认证应采用强 MFA。</w:t>
            </w:r>
          </w:p>
        </w:tc>
      </w:tr>
      <w:tr>
        <w:tc>
          <w:tcPr>
            <w:tcW w:type="dxa" w:w="2160"/>
          </w:tcPr>
          <w:p>
            <w:r>
              <w:t>C13</w:t>
            </w:r>
          </w:p>
        </w:tc>
        <w:tc>
          <w:tcPr>
            <w:tcW w:type="dxa" w:w="2160"/>
          </w:tcPr>
          <w:p>
            <w:r>
              <w:t>"structured withdrawal controls ... verification"</w:t>
            </w:r>
          </w:p>
        </w:tc>
        <w:tc>
          <w:tcPr>
            <w:tcW w:type="dxa" w:w="2160"/>
          </w:tcPr>
          <w:p>
            <w:r>
              <w:t>Technology &amp; Information / Schedule 1 D.2 / Guidance D.2 / p27</w:t>
            </w:r>
          </w:p>
        </w:tc>
        <w:tc>
          <w:tcPr>
            <w:tcW w:type="dxa" w:w="2160"/>
          </w:tcPr>
          <w:p>
            <w:r>
              <w:t>提现应执行分层验证与阈值管控。</w:t>
            </w:r>
          </w:p>
        </w:tc>
      </w:tr>
      <w:tr>
        <w:tc>
          <w:tcPr>
            <w:tcW w:type="dxa" w:w="2160"/>
          </w:tcPr>
          <w:p>
            <w:r>
              <w:t>C14</w:t>
            </w:r>
          </w:p>
        </w:tc>
        <w:tc>
          <w:tcPr>
            <w:tcW w:type="dxa" w:w="2160"/>
          </w:tcPr>
          <w:p>
            <w:r>
              <w:t>"retain each such record ... no less than eight (8) years"</w:t>
            </w:r>
          </w:p>
        </w:tc>
        <w:tc>
          <w:tcPr>
            <w:tcW w:type="dxa" w:w="2160"/>
          </w:tcPr>
          <w:p>
            <w:r>
              <w:t>Compliance &amp; Risk / Part I.F.2 / Rule I.F.2 / p17</w:t>
            </w:r>
          </w:p>
        </w:tc>
        <w:tc>
          <w:tcPr>
            <w:tcW w:type="dxa" w:w="2160"/>
          </w:tcPr>
          <w:p>
            <w:r>
              <w:t>记录留存期限不得短于 8 年。</w:t>
            </w:r>
          </w:p>
        </w:tc>
      </w:tr>
      <w:tr>
        <w:tc>
          <w:tcPr>
            <w:tcW w:type="dxa" w:w="2160"/>
          </w:tcPr>
          <w:p>
            <w:r>
              <w:t>C15</w:t>
            </w:r>
          </w:p>
        </w:tc>
        <w:tc>
          <w:tcPr>
            <w:tcW w:type="dxa" w:w="2160"/>
          </w:tcPr>
          <w:p>
            <w:r>
              <w:t>"operational duties ... effectively segregated"</w:t>
            </w:r>
          </w:p>
        </w:tc>
        <w:tc>
          <w:tcPr>
            <w:tcW w:type="dxa" w:w="2160"/>
          </w:tcPr>
          <w:p>
            <w:r>
              <w:t>Company / Part II.B / Rule II.B.2 / p14</w:t>
            </w:r>
          </w:p>
        </w:tc>
        <w:tc>
          <w:tcPr>
            <w:tcW w:type="dxa" w:w="2160"/>
          </w:tcPr>
          <w:p>
            <w:r>
              <w:t>运营职责必须分离以减少冲突与滥用。</w:t>
            </w:r>
          </w:p>
        </w:tc>
      </w:tr>
    </w:tbl>
    <w:p/>
    <w:p>
      <w:pPr>
        <w:pStyle w:val="Heading1"/>
      </w:pPr>
      <w:r>
        <w:t>5. 标准流程（Audit/Compliance 基线）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阶段</w:t>
            </w:r>
          </w:p>
        </w:tc>
        <w:tc>
          <w:tcPr>
            <w:tcW w:type="dxa" w:w="1440"/>
          </w:tcPr>
          <w:p>
            <w:r>
              <w:t>流程动作</w:t>
            </w:r>
          </w:p>
        </w:tc>
        <w:tc>
          <w:tcPr>
            <w:tcW w:type="dxa" w:w="1440"/>
          </w:tcPr>
          <w:p>
            <w:r>
              <w:t>监管要求</w:t>
            </w:r>
          </w:p>
        </w:tc>
        <w:tc>
          <w:tcPr>
            <w:tcW w:type="dxa" w:w="1440"/>
          </w:tcPr>
          <w:p>
            <w:r>
              <w:t>通过标准</w:t>
            </w:r>
          </w:p>
        </w:tc>
        <w:tc>
          <w:tcPr>
            <w:tcW w:type="dxa" w:w="1440"/>
          </w:tcPr>
          <w:p>
            <w:r>
              <w:t>不通过处置</w:t>
            </w:r>
          </w:p>
        </w:tc>
        <w:tc>
          <w:tcPr>
            <w:tcW w:type="dxa" w:w="1440"/>
          </w:tcPr>
          <w:p>
            <w:r>
              <w:t>证据输出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客户登录/交易触发</w:t>
            </w:r>
          </w:p>
        </w:tc>
        <w:tc>
          <w:tcPr>
            <w:tcW w:type="dxa" w:w="1440"/>
          </w:tcPr>
          <w:p>
            <w:r>
              <w:t>识别认证触发条件（C2/C3/C13）</w:t>
            </w:r>
          </w:p>
        </w:tc>
        <w:tc>
          <w:tcPr>
            <w:tcW w:type="dxa" w:w="1440"/>
          </w:tcPr>
          <w:p>
            <w:r>
              <w:t>进入认证链路</w:t>
            </w:r>
          </w:p>
        </w:tc>
        <w:tc>
          <w:tcPr>
            <w:tcW w:type="dxa" w:w="1440"/>
          </w:tcPr>
          <w:p>
            <w:r>
              <w:t>拒绝未认证会话</w:t>
            </w:r>
          </w:p>
        </w:tc>
        <w:tc>
          <w:tcPr>
            <w:tcW w:type="dxa" w:w="1440"/>
          </w:tcPr>
          <w:p>
            <w:r>
              <w:t>认证请求记录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身份认证与会话控制</w:t>
            </w:r>
          </w:p>
        </w:tc>
        <w:tc>
          <w:tcPr>
            <w:tcW w:type="dxa" w:w="1440"/>
          </w:tcPr>
          <w:p>
            <w:r>
              <w:t>MFA、错误次数、会话超时（C3/C12）</w:t>
            </w:r>
          </w:p>
        </w:tc>
        <w:tc>
          <w:tcPr>
            <w:tcW w:type="dxa" w:w="1440"/>
          </w:tcPr>
          <w:p>
            <w:r>
              <w:t>认证成功并会话有效</w:t>
            </w:r>
          </w:p>
        </w:tc>
        <w:tc>
          <w:tcPr>
            <w:tcW w:type="dxa" w:w="1440"/>
          </w:tcPr>
          <w:p>
            <w:r>
              <w:t>锁定/升级验证</w:t>
            </w:r>
          </w:p>
        </w:tc>
        <w:tc>
          <w:tcPr>
            <w:tcW w:type="dxa" w:w="1440"/>
          </w:tcPr>
          <w:p>
            <w:r>
              <w:t>认证与会话日志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r>
              <w:t>高风险动作门禁</w:t>
            </w:r>
          </w:p>
        </w:tc>
        <w:tc>
          <w:tcPr>
            <w:tcW w:type="dxa" w:w="1440"/>
          </w:tcPr>
          <w:p>
            <w:r>
              <w:t>超限或资料变更触发增强验证（C2/C4/C13）</w:t>
            </w:r>
          </w:p>
        </w:tc>
        <w:tc>
          <w:tcPr>
            <w:tcW w:type="dxa" w:w="1440"/>
          </w:tcPr>
          <w:p>
            <w:r>
              <w:t>通过则放行</w:t>
            </w:r>
          </w:p>
        </w:tc>
        <w:tc>
          <w:tcPr>
            <w:tcW w:type="dxa" w:w="1440"/>
          </w:tcPr>
          <w:p>
            <w:r>
              <w:t>拒绝并保留证据</w:t>
            </w:r>
          </w:p>
        </w:tc>
        <w:tc>
          <w:tcPr>
            <w:tcW w:type="dxa" w:w="1440"/>
          </w:tcPr>
          <w:p>
            <w:r>
              <w:t>审批与挑战记录</w:t>
            </w:r>
          </w:p>
        </w:tc>
      </w:tr>
      <w:tr>
        <w:tc>
          <w:tcPr>
            <w:tcW w:type="dxa" w:w="1440"/>
          </w:tcPr>
          <w:p>
            <w:r>
              <w:t>S4</w:t>
            </w:r>
          </w:p>
        </w:tc>
        <w:tc>
          <w:tcPr>
            <w:tcW w:type="dxa" w:w="1440"/>
          </w:tcPr>
          <w:p>
            <w:r>
              <w:t>员工访问授权</w:t>
            </w:r>
          </w:p>
        </w:tc>
        <w:tc>
          <w:tcPr>
            <w:tcW w:type="dxa" w:w="1440"/>
          </w:tcPr>
          <w:p>
            <w:r>
              <w:t>业务必要性 + SoD + 最小权限（C7/C15）</w:t>
            </w:r>
          </w:p>
        </w:tc>
        <w:tc>
          <w:tcPr>
            <w:tcW w:type="dxa" w:w="1440"/>
          </w:tcPr>
          <w:p>
            <w:r>
              <w:t>批准后授权</w:t>
            </w:r>
          </w:p>
        </w:tc>
        <w:tc>
          <w:tcPr>
            <w:tcW w:type="dxa" w:w="1440"/>
          </w:tcPr>
          <w:p>
            <w:r>
              <w:t>拒绝或整改</w:t>
            </w:r>
          </w:p>
        </w:tc>
        <w:tc>
          <w:tcPr>
            <w:tcW w:type="dxa" w:w="1440"/>
          </w:tcPr>
          <w:p>
            <w:r>
              <w:t>授权审批与角色变更日志</w:t>
            </w:r>
          </w:p>
        </w:tc>
      </w:tr>
      <w:tr>
        <w:tc>
          <w:tcPr>
            <w:tcW w:type="dxa" w:w="1440"/>
          </w:tcPr>
          <w:p>
            <w:r>
              <w:t>S5</w:t>
            </w:r>
          </w:p>
        </w:tc>
        <w:tc>
          <w:tcPr>
            <w:tcW w:type="dxa" w:w="1440"/>
          </w:tcPr>
          <w:p>
            <w:r>
              <w:t>离职撤权/周期复核</w:t>
            </w:r>
          </w:p>
        </w:tc>
        <w:tc>
          <w:tcPr>
            <w:tcW w:type="dxa" w:w="1440"/>
          </w:tcPr>
          <w:p>
            <w:r>
              <w:t>即时撤权+定期复核（C6/C11）</w:t>
            </w:r>
          </w:p>
        </w:tc>
        <w:tc>
          <w:tcPr>
            <w:tcW w:type="dxa" w:w="1440"/>
          </w:tcPr>
          <w:p>
            <w:r>
              <w:t>权限一致性通过</w:t>
            </w:r>
          </w:p>
        </w:tc>
        <w:tc>
          <w:tcPr>
            <w:tcW w:type="dxa" w:w="1440"/>
          </w:tcPr>
          <w:p>
            <w:r>
              <w:t>升级治理整改</w:t>
            </w:r>
          </w:p>
        </w:tc>
        <w:tc>
          <w:tcPr>
            <w:tcW w:type="dxa" w:w="1440"/>
          </w:tcPr>
          <w:p>
            <w:r>
              <w:t>撤权记录与复核报告</w:t>
            </w:r>
          </w:p>
        </w:tc>
      </w:tr>
      <w:tr>
        <w:tc>
          <w:tcPr>
            <w:tcW w:type="dxa" w:w="1440"/>
          </w:tcPr>
          <w:p>
            <w:r>
              <w:t>S6</w:t>
            </w:r>
          </w:p>
        </w:tc>
        <w:tc>
          <w:tcPr>
            <w:tcW w:type="dxa" w:w="1440"/>
          </w:tcPr>
          <w:p>
            <w:r>
              <w:t>日志与证据留存</w:t>
            </w:r>
          </w:p>
        </w:tc>
        <w:tc>
          <w:tcPr>
            <w:tcW w:type="dxa" w:w="1440"/>
          </w:tcPr>
          <w:p>
            <w:r>
              <w:t>安全日志&gt;=1年，业务记录&gt;=8年（C10/C14）</w:t>
            </w:r>
          </w:p>
        </w:tc>
        <w:tc>
          <w:tcPr>
            <w:tcW w:type="dxa" w:w="1440"/>
          </w:tcPr>
          <w:p>
            <w:r>
              <w:t>证据可抽检</w:t>
            </w:r>
          </w:p>
        </w:tc>
        <w:tc>
          <w:tcPr>
            <w:tcW w:type="dxa" w:w="1440"/>
          </w:tcPr>
          <w:p>
            <w:r>
              <w:t>补录并纠偏</w:t>
            </w:r>
          </w:p>
        </w:tc>
        <w:tc>
          <w:tcPr>
            <w:tcW w:type="dxa" w:w="1440"/>
          </w:tcPr>
          <w:p>
            <w:r>
              <w:t>留存台账</w:t>
            </w:r>
          </w:p>
        </w:tc>
      </w:tr>
    </w:tbl>
    <w:p/>
    <w:p>
      <w:pPr>
        <w:pStyle w:val="Heading1"/>
      </w:pPr>
      <w:r>
        <w:t>6. 流程图（关键流程 + Mermaid）</w:t>
      </w:r>
    </w:p>
    <w:p>
      <w:r>
        <w:rPr>
          <w:b/>
        </w:rPr>
        <w:t>F-AUD-035-001 — 客户认证与会话控制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[Start] -&gt; [Credential Login] -&gt; [Risk Check]</w:t>
        <w:br/>
        <w:t xml:space="preserve">     -&gt; [MFA Challenge] -&gt; {Success?}</w:t>
        <w:br/>
        <w:t xml:space="preserve">        No -&gt; [Lockout / Step-up] -&gt; [End]</w:t>
        <w:br/>
        <w:t xml:space="preserve">        Yes -&gt; [Session Issued] -&gt; [Transaction Gate] -&gt; [Audit Log] -&gt; [End]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A[Start] --&gt; B[Credential Login]</w:t>
        <w:br/>
        <w:t>B --&gt; C[Risk Check]</w:t>
        <w:br/>
        <w:t>C --&gt; D[MFA Challenge]</w:t>
        <w:br/>
        <w:t>D --&gt; E{Success?}</w:t>
        <w:br/>
        <w:t>E -- No --&gt; F[Lockout or Step-up]</w:t>
        <w:br/>
        <w:t>F --&gt; Z[End]</w:t>
        <w:br/>
        <w:t>E -- Yes --&gt; G[Session Issued]</w:t>
        <w:br/>
        <w:t>G --&gt; H[Transaction Gate]</w:t>
        <w:br/>
        <w:t>H --&gt; I[Audit Log]</w:t>
        <w:br/>
        <w:t>I --&gt; Z[End]</w:t>
        <w:br/>
        <w:t>```</w:t>
      </w:r>
    </w:p>
    <w:p>
      <w:r>
        <w:rPr>
          <w:b/>
        </w:rPr>
        <w:t>Figure: F-AUD-035-001</w:t>
      </w:r>
    </w:p>
    <w:p>
      <w:r>
        <w:drawing>
          <wp:inline xmlns:a="http://schemas.openxmlformats.org/drawingml/2006/main" xmlns:pic="http://schemas.openxmlformats.org/drawingml/2006/picture">
            <wp:extent cx="6126480" cy="4594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35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Rule refs: C2/C3/C10/C12</w:t>
      </w:r>
    </w:p>
    <w:p>
      <w:r>
        <w:rPr>
          <w:b/>
        </w:rPr>
        <w:t>F-AUD-035-002 — 员工访问生命周期与 SoD 校验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[Request Access] -&gt; [Business Need Check] -&gt; [SoD Check]</w:t>
        <w:br/>
        <w:t xml:space="preserve">  -&gt; {Approved?}</w:t>
        <w:br/>
        <w:t xml:space="preserve">     No -&gt; [Reject + Record] -&gt; [End]</w:t>
        <w:br/>
        <w:t xml:space="preserve">     Yes -&gt; [Provision Role+MFA] -&gt; [Quarterly Review]</w:t>
        <w:br/>
        <w:t xml:space="preserve">          -&gt; [Offboarding Trigger] -&gt; [Immediate Revoke] -&gt; [End]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A[Request Access] --&gt; B[Business Need Check]</w:t>
        <w:br/>
        <w:t>B --&gt; C[SoD Conflict Check]</w:t>
        <w:br/>
        <w:t>C --&gt; D{Approved?}</w:t>
        <w:br/>
        <w:t>D -- No --&gt; E[Reject and Record]</w:t>
        <w:br/>
        <w:t>E --&gt; Z[End]</w:t>
        <w:br/>
        <w:t>D -- Yes --&gt; F[Provision Role + MFA]</w:t>
        <w:br/>
        <w:t>F --&gt; G[Quarterly Access Review]</w:t>
        <w:br/>
        <w:t>G --&gt; H[Offboarding Trigger]</w:t>
        <w:br/>
        <w:t>H --&gt; I[Immediate Revoke]</w:t>
        <w:br/>
        <w:t>I --&gt; Z[End]</w:t>
        <w:br/>
        <w:t>```</w:t>
      </w:r>
    </w:p>
    <w:p>
      <w:r>
        <w:rPr>
          <w:b/>
        </w:rPr>
        <w:t>Figure: F-AUD-035-002</w:t>
      </w:r>
    </w:p>
    <w:p>
      <w:r>
        <w:drawing>
          <wp:inline xmlns:a="http://schemas.openxmlformats.org/drawingml/2006/main" xmlns:pic="http://schemas.openxmlformats.org/drawingml/2006/picture">
            <wp:extent cx="6126480" cy="4594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35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Rule refs: C6/C7/C11/C15</w:t>
      </w:r>
    </w:p>
    <w:p>
      <w:r>
        <w:rPr>
          <w:b/>
        </w:rPr>
        <w:t>F-AUD-035-003 — 高风险动作增强验证与冷静期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[High-risk Trigger] -&gt; [Step-up MFA] -&gt; [Enhanced Verification]</w:t>
        <w:br/>
        <w:t xml:space="preserve"> -&gt; {Pass?}</w:t>
        <w:br/>
        <w:t xml:space="preserve">    No -&gt; [Block &amp; Notify] -&gt; [Log Retention]</w:t>
        <w:br/>
        <w:t xml:space="preserve">    Yes -&gt; [Apply Cooling Period 24/48h]</w:t>
        <w:br/>
        <w:t xml:space="preserve">         -&gt; [Execute/Release] -&gt; [Log Retention] -&gt; [End]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A[High-risk Trigger] --&gt; B[Step-up MFA]</w:t>
        <w:br/>
        <w:t>B --&gt; C[Enhanced Verification]</w:t>
        <w:br/>
        <w:t>C --&gt; D{Pass?}</w:t>
        <w:br/>
        <w:t>D -- No --&gt; E[Block and Notify]</w:t>
        <w:br/>
        <w:t>E --&gt; F[Log Retention]</w:t>
        <w:br/>
        <w:t>F --&gt; Z[End]</w:t>
        <w:br/>
        <w:t>D -- Yes --&gt; G[Apply 24h or 48h Cooling]</w:t>
        <w:br/>
        <w:t>G --&gt; H[Execute or Release]</w:t>
        <w:br/>
        <w:t>H --&gt; F</w:t>
        <w:br/>
        <w:t>F --&gt; Z[End]</w:t>
        <w:br/>
        <w:t>```</w:t>
      </w:r>
    </w:p>
    <w:p>
      <w:r>
        <w:rPr>
          <w:b/>
        </w:rPr>
        <w:t>Figure: F-AUD-035-003</w:t>
      </w:r>
    </w:p>
    <w:p>
      <w:r>
        <w:drawing>
          <wp:inline xmlns:a="http://schemas.openxmlformats.org/drawingml/2006/main" xmlns:pic="http://schemas.openxmlformats.org/drawingml/2006/picture">
            <wp:extent cx="6126480" cy="45948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35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Rule refs: C2/C4/C13/C14</w:t>
      </w:r>
    </w:p>
    <w:p>
      <w:pPr>
        <w:pStyle w:val="Heading1"/>
      </w:pPr>
      <w:r>
        <w:t>7. RACI（职责矩阵）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活动</w:t>
            </w:r>
          </w:p>
        </w:tc>
        <w:tc>
          <w:tcPr>
            <w:tcW w:type="dxa" w:w="1234"/>
          </w:tcPr>
          <w:p>
            <w:r>
              <w:t>Board</w:t>
            </w:r>
          </w:p>
        </w:tc>
        <w:tc>
          <w:tcPr>
            <w:tcW w:type="dxa" w:w="1234"/>
          </w:tcPr>
          <w:p>
            <w:r>
              <w:t>Compliance</w:t>
            </w:r>
          </w:p>
        </w:tc>
        <w:tc>
          <w:tcPr>
            <w:tcW w:type="dxa" w:w="1234"/>
          </w:tcPr>
          <w:p>
            <w:r>
              <w:t>HR</w:t>
            </w:r>
          </w:p>
        </w:tc>
        <w:tc>
          <w:tcPr>
            <w:tcW w:type="dxa" w:w="1234"/>
          </w:tcPr>
          <w:p>
            <w:r>
              <w:t>Security/IAM</w:t>
            </w:r>
          </w:p>
        </w:tc>
        <w:tc>
          <w:tcPr>
            <w:tcW w:type="dxa" w:w="1234"/>
          </w:tcPr>
          <w:p>
            <w:r>
              <w:t>Internal Audit</w:t>
            </w:r>
          </w:p>
        </w:tc>
        <w:tc>
          <w:tcPr>
            <w:tcW w:type="dxa" w:w="1234"/>
          </w:tcPr>
          <w:p>
            <w:r>
              <w:t>Staff</w:t>
            </w:r>
          </w:p>
        </w:tc>
      </w:tr>
      <w:tr>
        <w:tc>
          <w:tcPr>
            <w:tcW w:type="dxa" w:w="1234"/>
          </w:tcPr>
          <w:p>
            <w:r>
              <w:t>访问控制策略批准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高风险认证门禁参数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权限申请与审批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周期访问复核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离职即撤权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日志留存与抽检响应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</w:tbl>
    <w:p/>
    <w:p>
      <w:pPr>
        <w:pStyle w:val="Heading1"/>
      </w:pPr>
      <w:r>
        <w:t>8. 证据与留存要求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证据项</w:t>
            </w:r>
          </w:p>
        </w:tc>
        <w:tc>
          <w:tcPr>
            <w:tcW w:type="dxa" w:w="1728"/>
          </w:tcPr>
          <w:p>
            <w:r>
              <w:t>最低内容</w:t>
            </w:r>
          </w:p>
        </w:tc>
        <w:tc>
          <w:tcPr>
            <w:tcW w:type="dxa" w:w="1728"/>
          </w:tcPr>
          <w:p>
            <w:r>
              <w:t>形成时点</w:t>
            </w:r>
          </w:p>
        </w:tc>
        <w:tc>
          <w:tcPr>
            <w:tcW w:type="dxa" w:w="1728"/>
          </w:tcPr>
          <w:p>
            <w:r>
              <w:t>留存要求</w:t>
            </w:r>
          </w:p>
        </w:tc>
        <w:tc>
          <w:tcPr>
            <w:tcW w:type="dxa" w:w="1728"/>
          </w:tcPr>
          <w:p>
            <w:r>
              <w:t>规则定位</w:t>
            </w:r>
          </w:p>
        </w:tc>
      </w:tr>
      <w:tr>
        <w:tc>
          <w:tcPr>
            <w:tcW w:type="dxa" w:w="1728"/>
          </w:tcPr>
          <w:p>
            <w:r>
              <w:t>认证策略文档</w:t>
            </w:r>
          </w:p>
        </w:tc>
        <w:tc>
          <w:tcPr>
            <w:tcW w:type="dxa" w:w="1728"/>
          </w:tcPr>
          <w:p>
            <w:r>
              <w:t>MFA策略、错误次数、超时控制</w:t>
            </w:r>
          </w:p>
        </w:tc>
        <w:tc>
          <w:tcPr>
            <w:tcW w:type="dxa" w:w="1728"/>
          </w:tcPr>
          <w:p>
            <w:r>
              <w:t>策略发布/变更时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C2/C3/C14</w:t>
            </w:r>
          </w:p>
        </w:tc>
      </w:tr>
      <w:tr>
        <w:tc>
          <w:tcPr>
            <w:tcW w:type="dxa" w:w="1728"/>
          </w:tcPr>
          <w:p>
            <w:r>
              <w:t>访问授权审批单</w:t>
            </w:r>
          </w:p>
        </w:tc>
        <w:tc>
          <w:tcPr>
            <w:tcW w:type="dxa" w:w="1728"/>
          </w:tcPr>
          <w:p>
            <w:r>
              <w:t>申请人、业务必要性、审批结论</w:t>
            </w:r>
          </w:p>
        </w:tc>
        <w:tc>
          <w:tcPr>
            <w:tcW w:type="dxa" w:w="1728"/>
          </w:tcPr>
          <w:p>
            <w:r>
              <w:t>每次授权变更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C7/C14</w:t>
            </w:r>
          </w:p>
        </w:tc>
      </w:tr>
      <w:tr>
        <w:tc>
          <w:tcPr>
            <w:tcW w:type="dxa" w:w="1728"/>
          </w:tcPr>
          <w:p>
            <w:r>
              <w:t>SoD 冲突检查记录</w:t>
            </w:r>
          </w:p>
        </w:tc>
        <w:tc>
          <w:tcPr>
            <w:tcW w:type="dxa" w:w="1728"/>
          </w:tcPr>
          <w:p>
            <w:r>
              <w:t>冲突规则、检测结果、处置动作</w:t>
            </w:r>
          </w:p>
        </w:tc>
        <w:tc>
          <w:tcPr>
            <w:tcW w:type="dxa" w:w="1728"/>
          </w:tcPr>
          <w:p>
            <w:r>
              <w:t>每次角色变更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C15/C14</w:t>
            </w:r>
          </w:p>
        </w:tc>
      </w:tr>
      <w:tr>
        <w:tc>
          <w:tcPr>
            <w:tcW w:type="dxa" w:w="1728"/>
          </w:tcPr>
          <w:p>
            <w:r>
              <w:t>离职撤权证据</w:t>
            </w:r>
          </w:p>
        </w:tc>
        <w:tc>
          <w:tcPr>
            <w:tcW w:type="dxa" w:w="1728"/>
          </w:tcPr>
          <w:p>
            <w:r>
              <w:t>触发时间、撤权时间、完成状态</w:t>
            </w:r>
          </w:p>
        </w:tc>
        <w:tc>
          <w:tcPr>
            <w:tcW w:type="dxa" w:w="1728"/>
          </w:tcPr>
          <w:p>
            <w:r>
              <w:t>离职事件发生后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C6/C14</w:t>
            </w:r>
          </w:p>
        </w:tc>
      </w:tr>
      <w:tr>
        <w:tc>
          <w:tcPr>
            <w:tcW w:type="dxa" w:w="1728"/>
          </w:tcPr>
          <w:p>
            <w:r>
              <w:t>安全日志</w:t>
            </w:r>
          </w:p>
        </w:tc>
        <w:tc>
          <w:tcPr>
            <w:tcW w:type="dxa" w:w="1728"/>
          </w:tcPr>
          <w:p>
            <w:r>
              <w:t>认证成功/失败、特权操作、告警</w:t>
            </w:r>
          </w:p>
        </w:tc>
        <w:tc>
          <w:tcPr>
            <w:tcW w:type="dxa" w:w="1728"/>
          </w:tcPr>
          <w:p>
            <w:r>
              <w:t>实时产生</w:t>
            </w:r>
          </w:p>
        </w:tc>
        <w:tc>
          <w:tcPr>
            <w:tcW w:type="dxa" w:w="1728"/>
          </w:tcPr>
          <w:p>
            <w:r>
              <w:t>&gt;=1年</w:t>
            </w:r>
          </w:p>
        </w:tc>
        <w:tc>
          <w:tcPr>
            <w:tcW w:type="dxa" w:w="1728"/>
          </w:tcPr>
          <w:p>
            <w:r>
              <w:t>C10</w:t>
            </w:r>
          </w:p>
        </w:tc>
      </w:tr>
      <w:tr>
        <w:tc>
          <w:tcPr>
            <w:tcW w:type="dxa" w:w="1728"/>
          </w:tcPr>
          <w:p>
            <w:r>
              <w:t>监控与告警工单</w:t>
            </w:r>
          </w:p>
        </w:tc>
        <w:tc>
          <w:tcPr>
            <w:tcW w:type="dxa" w:w="1728"/>
          </w:tcPr>
          <w:p>
            <w:r>
              <w:t>告警内容、分级、处置闭环</w:t>
            </w:r>
          </w:p>
        </w:tc>
        <w:tc>
          <w:tcPr>
            <w:tcW w:type="dxa" w:w="1728"/>
          </w:tcPr>
          <w:p>
            <w:r>
              <w:t>事件发生后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C11/C14</w:t>
            </w:r>
          </w:p>
        </w:tc>
      </w:tr>
      <w:tr>
        <w:tc>
          <w:tcPr>
            <w:tcW w:type="dxa" w:w="1728"/>
          </w:tcPr>
          <w:p>
            <w:r>
              <w:t>高风险交易验证记录</w:t>
            </w:r>
          </w:p>
        </w:tc>
        <w:tc>
          <w:tcPr>
            <w:tcW w:type="dxa" w:w="1728"/>
          </w:tcPr>
          <w:p>
            <w:r>
              <w:t>触发条件、挑战方式、结果</w:t>
            </w:r>
          </w:p>
        </w:tc>
        <w:tc>
          <w:tcPr>
            <w:tcW w:type="dxa" w:w="1728"/>
          </w:tcPr>
          <w:p>
            <w:r>
              <w:t>每次高风险动作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C2/C4/C13/C14</w:t>
            </w:r>
          </w:p>
        </w:tc>
      </w:tr>
    </w:tbl>
    <w:p/>
    <w:p>
      <w:pPr>
        <w:pStyle w:val="Heading1"/>
      </w:pPr>
      <w:r>
        <w:t>9. 时效与频率要求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控制主题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频率/触发</w:t>
            </w:r>
          </w:p>
        </w:tc>
        <w:tc>
          <w:tcPr>
            <w:tcW w:type="dxa" w:w="2160"/>
          </w:tcPr>
          <w:p>
            <w:r>
              <w:t>条款锚点</w:t>
            </w:r>
          </w:p>
        </w:tc>
      </w:tr>
      <w:tr>
        <w:tc>
          <w:tcPr>
            <w:tcW w:type="dxa" w:w="2160"/>
          </w:tcPr>
          <w:p>
            <w:r>
              <w:t>离职撤权</w:t>
            </w:r>
          </w:p>
        </w:tc>
        <w:tc>
          <w:tcPr>
            <w:tcW w:type="dxa" w:w="2160"/>
          </w:tcPr>
          <w:p>
            <w:r>
              <w:t>立即执行</w:t>
            </w:r>
          </w:p>
        </w:tc>
        <w:tc>
          <w:tcPr>
            <w:tcW w:type="dxa" w:w="2160"/>
          </w:tcPr>
          <w:p>
            <w:r>
              <w:t>按事件触发</w:t>
            </w:r>
          </w:p>
        </w:tc>
        <w:tc>
          <w:tcPr>
            <w:tcW w:type="dxa" w:w="2160"/>
          </w:tcPr>
          <w:p>
            <w:r>
              <w:t>C6</w:t>
            </w:r>
          </w:p>
        </w:tc>
      </w:tr>
      <w:tr>
        <w:tc>
          <w:tcPr>
            <w:tcW w:type="dxa" w:w="2160"/>
          </w:tcPr>
          <w:p>
            <w:r>
              <w:t>访问复核</w:t>
            </w:r>
          </w:p>
        </w:tc>
        <w:tc>
          <w:tcPr>
            <w:tcW w:type="dxa" w:w="2160"/>
          </w:tcPr>
          <w:p>
            <w:r>
              <w:t>季度</w:t>
            </w:r>
          </w:p>
        </w:tc>
        <w:tc>
          <w:tcPr>
            <w:tcW w:type="dxa" w:w="2160"/>
          </w:tcPr>
          <w:p>
            <w:r>
              <w:t>每季度</w:t>
            </w:r>
          </w:p>
        </w:tc>
        <w:tc>
          <w:tcPr>
            <w:tcW w:type="dxa" w:w="2160"/>
          </w:tcPr>
          <w:p>
            <w:r>
              <w:t>C11 + C7</w:t>
            </w:r>
          </w:p>
        </w:tc>
      </w:tr>
      <w:tr>
        <w:tc>
          <w:tcPr>
            <w:tcW w:type="dxa" w:w="2160"/>
          </w:tcPr>
          <w:p>
            <w:r>
              <w:t>认证与交易日志</w:t>
            </w:r>
          </w:p>
        </w:tc>
        <w:tc>
          <w:tcPr>
            <w:tcW w:type="dxa" w:w="2160"/>
          </w:tcPr>
          <w:p>
            <w:r>
              <w:t>持续记录</w:t>
            </w:r>
          </w:p>
        </w:tc>
        <w:tc>
          <w:tcPr>
            <w:tcW w:type="dxa" w:w="2160"/>
          </w:tcPr>
          <w:p>
            <w:r>
              <w:t>实时</w:t>
            </w:r>
          </w:p>
        </w:tc>
        <w:tc>
          <w:tcPr>
            <w:tcW w:type="dxa" w:w="2160"/>
          </w:tcPr>
          <w:p>
            <w:r>
              <w:t>C10</w:t>
            </w:r>
          </w:p>
        </w:tc>
      </w:tr>
      <w:tr>
        <w:tc>
          <w:tcPr>
            <w:tcW w:type="dxa" w:w="2160"/>
          </w:tcPr>
          <w:p>
            <w:r>
              <w:t>安全日志保留</w:t>
            </w:r>
          </w:p>
        </w:tc>
        <w:tc>
          <w:tcPr>
            <w:tcW w:type="dxa" w:w="2160"/>
          </w:tcPr>
          <w:p>
            <w:r>
              <w:t>不少于1年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C10</w:t>
            </w:r>
          </w:p>
        </w:tc>
      </w:tr>
      <w:tr>
        <w:tc>
          <w:tcPr>
            <w:tcW w:type="dxa" w:w="2160"/>
          </w:tcPr>
          <w:p>
            <w:r>
              <w:t>业务/审计记录保留</w:t>
            </w:r>
          </w:p>
        </w:tc>
        <w:tc>
          <w:tcPr>
            <w:tcW w:type="dxa" w:w="2160"/>
          </w:tcPr>
          <w:p>
            <w:r>
              <w:t>不少于8年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C14</w:t>
            </w:r>
          </w:p>
        </w:tc>
      </w:tr>
      <w:tr>
        <w:tc>
          <w:tcPr>
            <w:tcW w:type="dxa" w:w="2160"/>
          </w:tcPr>
          <w:p>
            <w:r>
              <w:t>高风险操作冷静期</w:t>
            </w:r>
          </w:p>
        </w:tc>
        <w:tc>
          <w:tcPr>
            <w:tcW w:type="dxa" w:w="2160"/>
          </w:tcPr>
          <w:p>
            <w:r>
              <w:t>24h/48h（按规则）</w:t>
            </w:r>
          </w:p>
        </w:tc>
        <w:tc>
          <w:tcPr>
            <w:tcW w:type="dxa" w:w="2160"/>
          </w:tcPr>
          <w:p>
            <w:r>
              <w:t>按事件触发</w:t>
            </w:r>
          </w:p>
        </w:tc>
        <w:tc>
          <w:tcPr>
            <w:tcW w:type="dxa" w:w="2160"/>
          </w:tcPr>
          <w:p>
            <w:r>
              <w:t>C13</w:t>
            </w:r>
          </w:p>
        </w:tc>
      </w:tr>
    </w:tbl>
    <w:p/>
    <w:p>
      <w:pPr>
        <w:pStyle w:val="Heading1"/>
      </w:pPr>
      <w:r>
        <w:t>10. 提交前自查清单</w:t>
      </w:r>
    </w:p>
    <w:p>
      <w:r>
        <w:t>1. 是否所有认证相关控制均能映射到至少一条 C 引用？</w:t>
      </w:r>
    </w:p>
    <w:p>
      <w:r>
        <w:t>2. 是否高风险交易与资料变更均启用增强验证机制？</w:t>
      </w:r>
    </w:p>
    <w:p>
      <w:r>
        <w:t>3. 是否所有权限授予均有业务必要性与 SoD 校验证据？</w:t>
      </w:r>
    </w:p>
    <w:p>
      <w:r>
        <w:t>4. 是否离职撤权记录可证明“即时撤权”？</w:t>
      </w:r>
    </w:p>
    <w:p>
      <w:r>
        <w:t>5. 是否安全日志保留 &gt;=1 年，业务记录保留 &gt;=8 年？</w:t>
      </w:r>
    </w:p>
    <w:p>
      <w:r>
        <w:t>6. 是否 Mermaid、ASCII、PNG 三种流程表达一致且无冲突？</w:t>
      </w:r>
    </w:p>
    <w:p>
      <w:pPr>
        <w:pStyle w:val="Heading1"/>
      </w:pPr>
      <w:r>
        <w:t>11. 常见不符合项（监管高频）</w:t>
      </w:r>
    </w:p>
    <w:p>
      <w:pPr>
        <w:pStyle w:val="ListBullet"/>
      </w:pPr>
      <w:r>
        <w:t>权限申请缺少“业务必要性”论证，导致 I.D.4 证据不足。</w:t>
      </w:r>
    </w:p>
    <w:p>
      <w:pPr>
        <w:pStyle w:val="ListBullet"/>
      </w:pPr>
      <w:r>
        <w:t>仅在制度层定义 SoD，未提供角色冲突检测与处置记录。</w:t>
      </w:r>
    </w:p>
    <w:p>
      <w:pPr>
        <w:pStyle w:val="ListBullet"/>
      </w:pPr>
      <w:r>
        <w:t>高风险交易触发条件不清，导致 I.B.3(i) 实际执行不可证。</w:t>
      </w:r>
    </w:p>
    <w:p>
      <w:pPr>
        <w:pStyle w:val="ListBullet"/>
      </w:pPr>
      <w:r>
        <w:t>账号变更后未执行额外认证或冷静期，违反 I.B.3(k)/D.2 意图。</w:t>
      </w:r>
    </w:p>
    <w:p>
      <w:pPr>
        <w:pStyle w:val="ListBullet"/>
      </w:pPr>
      <w:r>
        <w:t>日志保留时间不足或日志不可检索，无法满足 B.13 与 I.F.2。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