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CAP-036_Audit_Compliance_Guide_v2</w:t>
      </w:r>
    </w:p>
    <w:p>
      <w:pPr>
        <w:jc w:val="center"/>
      </w:pPr>
      <w:r>
        <w:t>密钥与钱包权限控制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CAP-036</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I.D; Technology &amp; Information Schedule 1 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CAP-036（密钥与钱包权限控制）在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ensure that their Technology Governance and Risk Assessment Framework addresses, to the extent necessary, the generation of cryptographic keys and VA Wallets, the signing and approval of transactions, the storage of cryptographic keys and seed..."</w:t>
            </w:r>
          </w:p>
        </w:tc>
        <w:tc>
          <w:tcPr>
            <w:tcW w:type="dxa" w:w="2160"/>
          </w:tcPr>
          <w:p>
            <w:r>
              <w:t>Technology &amp; Information / Part I.D.1 / Rule I.D.1 / p9</w:t>
            </w:r>
          </w:p>
        </w:tc>
        <w:tc>
          <w:tcPr>
            <w:tcW w:type="dxa" w:w="2160"/>
          </w:tcPr>
          <w:p>
            <w:r>
              <w:t>密钥与钱包权限控制：控制要求（见英文原文）。</w:t>
            </w:r>
          </w:p>
        </w:tc>
      </w:tr>
      <w:tr>
        <w:tc>
          <w:tcPr>
            <w:tcW w:type="dxa" w:w="2160"/>
          </w:tcPr>
          <w:p>
            <w:r>
              <w:t>C2</w:t>
            </w:r>
          </w:p>
        </w:tc>
        <w:tc>
          <w:tcPr>
            <w:tcW w:type="dxa" w:w="2160"/>
          </w:tcPr>
          <w:p>
            <w:r>
              <w:t>"safeguard access to Virtual Assets in accordance with industry best practices and, in particular, ensure that there is no single point of failure in the VASP’s access to, or knowledge of, Virtual Assets held by the VASP;"</w:t>
            </w:r>
          </w:p>
        </w:tc>
        <w:tc>
          <w:tcPr>
            <w:tcW w:type="dxa" w:w="2160"/>
          </w:tcPr>
          <w:p>
            <w:r>
              <w:t>Technology &amp; Information / Part I.D.2(a) / Rule I.D.2(a) / p9</w:t>
            </w:r>
          </w:p>
        </w:tc>
        <w:tc>
          <w:tcPr>
            <w:tcW w:type="dxa" w:w="2160"/>
          </w:tcPr>
          <w:p>
            <w:r>
              <w:t>密钥与钱包权限控制：控制要求（见英文原文）。</w:t>
            </w:r>
          </w:p>
        </w:tc>
      </w:tr>
      <w:tr>
        <w:tc>
          <w:tcPr>
            <w:tcW w:type="dxa" w:w="2160"/>
          </w:tcPr>
          <w:p>
            <w:r>
              <w:t>C3</w:t>
            </w:r>
          </w:p>
        </w:tc>
        <w:tc>
          <w:tcPr>
            <w:tcW w:type="dxa" w:w="2160"/>
          </w:tcPr>
          <w:p>
            <w:r>
              <w:t>"adopt industry best practices for storing the private keys of clients, including ensuring that keys stored online or in any one physical location are insufficient to conduct a Virtual Asset transaction, unless appropriate controls are in place to render..."</w:t>
            </w:r>
          </w:p>
        </w:tc>
        <w:tc>
          <w:tcPr>
            <w:tcW w:type="dxa" w:w="2160"/>
          </w:tcPr>
          <w:p>
            <w:r>
              <w:t>Technology &amp; Information / Part I.D.2(b) / Rule I.D.2(b) / p9</w:t>
            </w:r>
          </w:p>
        </w:tc>
        <w:tc>
          <w:tcPr>
            <w:tcW w:type="dxa" w:w="2160"/>
          </w:tcPr>
          <w:p>
            <w:r>
              <w:t>密钥与钱包权限控制：控制要求（见英文原文）。</w:t>
            </w:r>
          </w:p>
        </w:tc>
      </w:tr>
      <w:tr>
        <w:tc>
          <w:tcPr>
            <w:tcW w:type="dxa" w:w="2160"/>
          </w:tcPr>
          <w:p>
            <w:r>
              <w:t>C4</w:t>
            </w:r>
          </w:p>
        </w:tc>
        <w:tc>
          <w:tcPr>
            <w:tcW w:type="dxa" w:w="2160"/>
          </w:tcPr>
          <w:p>
            <w:r>
              <w:t>"adopt strict access management controls to manage access to keys, including an audit log detailing each change of access to keys. In particular, if Staff with access to a key (including a multi-signature arrangement key) leaves the employment of that VASP,..."</w:t>
            </w:r>
          </w:p>
        </w:tc>
        <w:tc>
          <w:tcPr>
            <w:tcW w:type="dxa" w:w="2160"/>
          </w:tcPr>
          <w:p>
            <w:r>
              <w:t>Technology &amp; Information / Part I.D.2(c) / Rule I.D.2(c) / p9</w:t>
            </w:r>
          </w:p>
        </w:tc>
        <w:tc>
          <w:tcPr>
            <w:tcW w:type="dxa" w:w="2160"/>
          </w:tcPr>
          <w:p>
            <w:r>
              <w:t>密钥与钱包权限控制：控制要求（见英文原文）。</w:t>
            </w:r>
          </w:p>
        </w:tc>
      </w:tr>
      <w:tr>
        <w:tc>
          <w:tcPr>
            <w:tcW w:type="dxa" w:w="2160"/>
          </w:tcPr>
          <w:p>
            <w:r>
              <w:t>C5</w:t>
            </w:r>
          </w:p>
        </w:tc>
        <w:tc>
          <w:tcPr>
            <w:tcW w:type="dxa" w:w="2160"/>
          </w:tcPr>
          <w:p>
            <w:r>
              <w:t>"adopt procedures designed to immediately revoke a key signatory’s access. In particular, a VASP must—"</w:t>
            </w:r>
          </w:p>
        </w:tc>
        <w:tc>
          <w:tcPr>
            <w:tcW w:type="dxa" w:w="2160"/>
          </w:tcPr>
          <w:p>
            <w:r>
              <w:t>Technology &amp; Information / Part I.D.2(d) / Rule I.D.2(d) / p10</w:t>
            </w:r>
          </w:p>
        </w:tc>
        <w:tc>
          <w:tcPr>
            <w:tcW w:type="dxa" w:w="2160"/>
          </w:tcPr>
          <w:p>
            <w:r>
              <w:t>密钥与钱包权限控制：控制要求（见英文原文）。</w:t>
            </w:r>
          </w:p>
        </w:tc>
      </w:tr>
      <w:tr>
        <w:tc>
          <w:tcPr>
            <w:tcW w:type="dxa" w:w="2160"/>
          </w:tcPr>
          <w:p>
            <w:r>
              <w:t>C6</w:t>
            </w:r>
          </w:p>
        </w:tc>
        <w:tc>
          <w:tcPr>
            <w:tcW w:type="dxa" w:w="2160"/>
          </w:tcPr>
          <w:p>
            <w:r>
              <w:t>"perform internal audits on a quarterly basis concerning the removal of user access by reviewing access logs and verifying access as appropriate;"</w:t>
            </w:r>
          </w:p>
        </w:tc>
        <w:tc>
          <w:tcPr>
            <w:tcW w:type="dxa" w:w="2160"/>
          </w:tcPr>
          <w:p>
            <w:r>
              <w:t>Technology &amp; Information / Part I.D.2(d)(ii) / Rule I.D.2(d)(ii) / p10</w:t>
            </w:r>
          </w:p>
        </w:tc>
        <w:tc>
          <w:tcPr>
            <w:tcW w:type="dxa" w:w="2160"/>
          </w:tcPr>
          <w:p>
            <w:r>
              <w:t>密钥与钱包权限控制：控制要求（关键时效/频率：quarterly）。</w:t>
            </w:r>
          </w:p>
        </w:tc>
      </w:tr>
      <w:tr>
        <w:tc>
          <w:tcPr>
            <w:tcW w:type="dxa" w:w="2160"/>
          </w:tcPr>
          <w:p>
            <w:r>
              <w:t>C7</w:t>
            </w:r>
          </w:p>
        </w:tc>
        <w:tc>
          <w:tcPr>
            <w:tcW w:type="dxa" w:w="2160"/>
          </w:tcPr>
          <w:p>
            <w:r>
              <w:t>"VASPs must ensure that access to their systems and data may only be granted to individuals with a demonstrable business need and implement safeguards to ensure the proper identification of all individuals, including the maintenance of an access log."</w:t>
            </w:r>
          </w:p>
        </w:tc>
        <w:tc>
          <w:tcPr>
            <w:tcW w:type="dxa" w:w="2160"/>
          </w:tcPr>
          <w:p>
            <w:r>
              <w:t>Technology &amp; Information / Part I.D.4 / Rule I.D.4 / p10</w:t>
            </w:r>
          </w:p>
        </w:tc>
        <w:tc>
          <w:tcPr>
            <w:tcW w:type="dxa" w:w="2160"/>
          </w:tcPr>
          <w:p>
            <w:r>
              <w:t>密钥与钱包权限控制：控制要求（见英文原文）。</w:t>
            </w:r>
          </w:p>
        </w:tc>
      </w:tr>
      <w:tr>
        <w:tc>
          <w:tcPr>
            <w:tcW w:type="dxa" w:w="2160"/>
          </w:tcPr>
          <w:p>
            <w:r>
              <w:t>C8</w:t>
            </w:r>
          </w:p>
        </w:tc>
        <w:tc>
          <w:tcPr>
            <w:tcW w:type="dxa" w:w="2160"/>
          </w:tcPr>
          <w:p>
            <w:r>
              <w:t>"Key generation standard: To reduce the risk of weak or predictable keys that could be exploited by attackers, VASPs are expected to generate cryptographic keys using industry -approved methods with sufficient entropy, including but not limited to— a. hardware..."</w:t>
            </w:r>
          </w:p>
        </w:tc>
        <w:tc>
          <w:tcPr>
            <w:tcW w:type="dxa" w:w="2160"/>
          </w:tcPr>
          <w:p>
            <w:r>
              <w:t>Technology &amp; Information / Schedule 1 B.1 / Guidance B.1 / p21</w:t>
            </w:r>
          </w:p>
        </w:tc>
        <w:tc>
          <w:tcPr>
            <w:tcW w:type="dxa" w:w="2160"/>
          </w:tcPr>
          <w:p>
            <w:r>
              <w:t>密钥与钱包权限控制：控制要求（见英文原文）。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密钥与钱包权限控制：相关活动必须形成可审计记录。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密钥与钱包权限控制：相关证据与记录至少保留八(8)年。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密钥与钱包权限控制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密钥与钱包权限控制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密钥与钱包权限控制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密钥与钱包权限控制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密钥与钱包权限控制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F-AUD-036-001 — 密钥与钱包权限控制 主流程</w:t>
      </w:r>
    </w:p>
    <w:p>
      <w:r>
        <w:t>requirement_refs: C1/C2/C3/C4</w:t>
      </w:r>
    </w:p>
    <w:p>
      <w:r>
        <w:t>ASCII 流程图：</w:t>
      </w:r>
    </w:p>
    <w:p>
      <w:r>
        <w:t>[Start] -&gt; [Policy Approved] -&gt; [Execute 密钥与钱包权限控制]</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F-AUD-036-002 — 密钥与钱包权限控制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F-AUD-036-003 — 密钥与钱包权限控制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密钥与钱包权限控制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密钥与钱包权限控制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密钥与钱包权限控制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密钥与钱包权限控制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密钥与钱包权限控制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quarterly）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quarterly）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quarterly）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quarterly）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密钥与钱包权限控制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密钥与钱包权限控制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