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CAP-039_Audit_Compliance_Guide_v2</w:t>
      </w:r>
    </w:p>
    <w:p>
      <w:pPr>
        <w:jc w:val="center"/>
      </w:pPr>
      <w:r>
        <w:t>BCDR 编排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CAP-039</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 Technology &amp; Information Part I.H; Technology &amp; Information Part I.K; Compliance &amp; Risk Part I.C</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CAP-039（BCDR 编排）在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"VASPs must implement, maintain, test and update on an annual basis an adequate Business Continuity and Disaster Recovery Plan ("BCDR Plan") to minimise disruption to their operations. The BCDR Plan must address, but not be limited to— a."</w:t>
            </w:r>
          </w:p>
        </w:tc>
        <w:tc>
          <w:tcPr>
            <w:tcW w:type="dxa" w:w="2160"/>
          </w:tcPr>
          <w:p>
            <w:r>
              <w:t>Technology &amp; Information / Part I.H.1 / Rule I.H.1 / p14</w:t>
            </w:r>
          </w:p>
        </w:tc>
        <w:tc>
          <w:tcPr>
            <w:tcW w:type="dxa" w:w="2160"/>
          </w:tcPr>
          <w:p>
            <w:r>
              <w:t>BCDR 编排：控制要求（关键时效/频率：annual）。</w:t>
            </w:r>
          </w:p>
        </w:tc>
      </w:tr>
      <w:tr>
        <w:tc>
          <w:tcPr>
            <w:tcW w:type="dxa" w:w="2160"/>
          </w:tcPr>
          <w:p>
            <w:r>
              <w:t>C2</w:t>
            </w:r>
          </w:p>
        </w:tc>
        <w:tc>
          <w:tcPr>
            <w:tcW w:type="dxa" w:w="2160"/>
          </w:tcPr>
          <w:p>
            <w:r>
              <w:t>"events that may trigger the implementation of the BCDR Plan, such as cybersecurity events and technical failures, and procedures to be taken to assess the nature, scope and impact of the event;"</w:t>
            </w:r>
          </w:p>
        </w:tc>
        <w:tc>
          <w:tcPr>
            <w:tcW w:type="dxa" w:w="2160"/>
          </w:tcPr>
          <w:p>
            <w:r>
              <w:t>Technology &amp; Information / Part I.H.1(a) / Rule I.H.1(a) / p14</w:t>
            </w:r>
          </w:p>
        </w:tc>
        <w:tc>
          <w:tcPr>
            <w:tcW w:type="dxa" w:w="2160"/>
          </w:tcPr>
          <w:p>
            <w:r>
              <w:t>BCDR 编排：控制要求（见英文原文）。</w:t>
            </w:r>
          </w:p>
        </w:tc>
      </w:tr>
      <w:tr>
        <w:tc>
          <w:tcPr>
            <w:tcW w:type="dxa" w:w="2160"/>
          </w:tcPr>
          <w:p>
            <w:r>
              <w:t>C3</w:t>
            </w:r>
          </w:p>
        </w:tc>
        <w:tc>
          <w:tcPr>
            <w:tcW w:type="dxa" w:w="2160"/>
          </w:tcPr>
          <w:p>
            <w:r>
              <w:t>"recovery priorities for the VASP’s operations, including but not limited to the preservation of essential data and critical functions and the maintenance of those data and functions;"</w:t>
            </w:r>
          </w:p>
        </w:tc>
        <w:tc>
          <w:tcPr>
            <w:tcW w:type="dxa" w:w="2160"/>
          </w:tcPr>
          <w:p>
            <w:r>
              <w:t>Technology &amp; Information / Part I.H.1(c) / Rule I.H.1(c) / p14</w:t>
            </w:r>
          </w:p>
        </w:tc>
        <w:tc>
          <w:tcPr>
            <w:tcW w:type="dxa" w:w="2160"/>
          </w:tcPr>
          <w:p>
            <w:r>
              <w:t>BCDR 编排：控制要求（见英文原文）。</w:t>
            </w:r>
          </w:p>
        </w:tc>
      </w:tr>
      <w:tr>
        <w:tc>
          <w:tcPr>
            <w:tcW w:type="dxa" w:w="2160"/>
          </w:tcPr>
          <w:p>
            <w:r>
              <w:t>C4</w:t>
            </w:r>
          </w:p>
        </w:tc>
        <w:tc>
          <w:tcPr>
            <w:tcW w:type="dxa" w:w="2160"/>
          </w:tcPr>
          <w:p>
            <w:r>
              <w:t>"communication arrangements for affected internal and external parties;"</w:t>
            </w:r>
          </w:p>
        </w:tc>
        <w:tc>
          <w:tcPr>
            <w:tcW w:type="dxa" w:w="2160"/>
          </w:tcPr>
          <w:p>
            <w:r>
              <w:t>Technology &amp; Information / Part I.H.1(d) / Rule I.H.1(d) / p14</w:t>
            </w:r>
          </w:p>
        </w:tc>
        <w:tc>
          <w:tcPr>
            <w:tcW w:type="dxa" w:w="2160"/>
          </w:tcPr>
          <w:p>
            <w:r>
              <w:t>BCDR 编排：控制要求（见英文原文）。</w:t>
            </w:r>
          </w:p>
        </w:tc>
      </w:tr>
      <w:tr>
        <w:tc>
          <w:tcPr>
            <w:tcW w:type="dxa" w:w="2160"/>
          </w:tcPr>
          <w:p>
            <w:r>
              <w:t>C5</w:t>
            </w:r>
          </w:p>
        </w:tc>
        <w:tc>
          <w:tcPr>
            <w:tcW w:type="dxa" w:w="2160"/>
          </w:tcPr>
          <w:p>
            <w:r>
              <w:t>"an alternative site sufficient to recover and continue operations for a reasonable period; and"</w:t>
            </w:r>
          </w:p>
        </w:tc>
        <w:tc>
          <w:tcPr>
            <w:tcW w:type="dxa" w:w="2160"/>
          </w:tcPr>
          <w:p>
            <w:r>
              <w:t>Technology &amp; Information / Part I.H.1(g) / Rule I.H.1(g) / p14</w:t>
            </w:r>
          </w:p>
        </w:tc>
        <w:tc>
          <w:tcPr>
            <w:tcW w:type="dxa" w:w="2160"/>
          </w:tcPr>
          <w:p>
            <w:r>
              <w:t>BCDR 编排：控制要求（见英文原文）。</w:t>
            </w:r>
          </w:p>
        </w:tc>
      </w:tr>
      <w:tr>
        <w:tc>
          <w:tcPr>
            <w:tcW w:type="dxa" w:w="2160"/>
          </w:tcPr>
          <w:p>
            <w:r>
              <w:t>C6</w:t>
            </w:r>
          </w:p>
        </w:tc>
        <w:tc>
          <w:tcPr>
            <w:tcW w:type="dxa" w:w="2160"/>
          </w:tcPr>
          <w:p>
            <w:r>
              <w:t>"procedures to remediate identified and/or exploited vulnerabilities or upgrade relevant protocols once stable operations are resumed to prevent similar events."</w:t>
            </w:r>
          </w:p>
        </w:tc>
        <w:tc>
          <w:tcPr>
            <w:tcW w:type="dxa" w:w="2160"/>
          </w:tcPr>
          <w:p>
            <w:r>
              <w:t>Technology &amp; Information / Part I.H.1(h) / Rule I.H.1(h) / p14</w:t>
            </w:r>
          </w:p>
        </w:tc>
        <w:tc>
          <w:tcPr>
            <w:tcW w:type="dxa" w:w="2160"/>
          </w:tcPr>
          <w:p>
            <w:r>
              <w:t>BCDR 编排：控制要求（见英文原文）。</w:t>
            </w:r>
          </w:p>
        </w:tc>
      </w:tr>
      <w:tr>
        <w:tc>
          <w:tcPr>
            <w:tcW w:type="dxa" w:w="2160"/>
          </w:tcPr>
          <w:p>
            <w:r>
              <w:t>C7</w:t>
            </w:r>
          </w:p>
        </w:tc>
        <w:tc>
          <w:tcPr>
            <w:tcW w:type="dxa" w:w="2160"/>
          </w:tcPr>
          <w:p>
            <w:r>
              <w:t>"In addition to relevant requirements in the Compliance and Risk Management Rulebook, u pon the detection of any occurrence of (i) a material cybersecurity event or (ii) an event triggering the implementation of the BCDR Plan that materially impacts a VASP’s..."</w:t>
            </w:r>
          </w:p>
        </w:tc>
        <w:tc>
          <w:tcPr>
            <w:tcW w:type="dxa" w:w="2160"/>
          </w:tcPr>
          <w:p>
            <w:r>
              <w:t>Technology &amp; Information / Part I.K.1 / Rule I.K.1 / p15</w:t>
            </w:r>
          </w:p>
        </w:tc>
        <w:tc>
          <w:tcPr>
            <w:tcW w:type="dxa" w:w="2160"/>
          </w:tcPr>
          <w:p>
            <w:r>
              <w:t>BCDR 编排：控制要求（见英文原文）。</w:t>
            </w:r>
          </w:p>
        </w:tc>
      </w:tr>
      <w:tr>
        <w:tc>
          <w:tcPr>
            <w:tcW w:type="dxa" w:w="2160"/>
          </w:tcPr>
          <w:p>
            <w:r>
              <w:t>C8</w:t>
            </w:r>
          </w:p>
        </w:tc>
        <w:tc>
          <w:tcPr>
            <w:tcW w:type="dxa" w:w="2160"/>
          </w:tcPr>
          <w:p>
            <w:r>
              <w:t>"developing and implementing compliance policies and procedures, including a Business Continuity and Disaster Recovery Plan ("BCDR Plan") as required in the Technology and Information Rulebook;"</w:t>
            </w:r>
          </w:p>
        </w:tc>
        <w:tc>
          <w:tcPr>
            <w:tcW w:type="dxa" w:w="2160"/>
          </w:tcPr>
          <w:p>
            <w:r>
              <w:t>Compliance &amp; Risk / Part I.C.2(b) / Rule I.C.2(b) / p9</w:t>
            </w:r>
          </w:p>
        </w:tc>
        <w:tc>
          <w:tcPr>
            <w:tcW w:type="dxa" w:w="2160"/>
          </w:tcPr>
          <w:p>
            <w:r>
              <w:t>BCDR 编排：控制要求（见英文原文）。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BCDR 编排：相关活动必须形成可审计记录。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BCDR 编排：相关证据与记录至少保留八(8)年。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BCDR 编排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BCDR 编排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BCDR 编排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BCDR 编排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BCDR 编排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F-AUD-039-001 — BCDR 编排 主流程</w:t>
      </w:r>
    </w:p>
    <w:p>
      <w:r>
        <w:t>requirement_refs: C1/C2/C3/C4</w:t>
      </w:r>
    </w:p>
    <w:p>
      <w:r>
        <w:t>ASCII 流程图：</w:t>
      </w:r>
    </w:p>
    <w:p>
      <w:r>
        <w:t>[Start] -&gt; [Policy Approved] -&gt; [Execute BCDR 编排]</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F-AUD-039-002 — BCDR 编排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F-AUD-039-003 — BCDR 编排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BCDR 编排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BCDR 编排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BCDR 编排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BCDR 编排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BCDR 编排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按事件/每日（按条款）（例如 annual）</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按触发（例如 annual）</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按条款（可能每日/每月/至少年度）（例如 annual）</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按触发/按周期（例如 annual）</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BCDR 编排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BCDR 编排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