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CAP-040_Audit_Compliance_Guide_v2</w:t>
      </w:r>
    </w:p>
    <w:p>
      <w:pPr>
        <w:jc w:val="center"/>
      </w:pPr>
      <w:r>
        <w:t>算法治理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CAP-040</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Technology &amp; Information Part I.G; Compliance &amp; Risk Part I.D; Technology &amp; Information Part I.A; Compliance &amp; Risk Part I.F</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CAP-040（算法治理）在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"If a VASP conducts VA Activities using algorithms (in whole or in part), it must establish policies and procedures that enable its Board and Senior Management to have robust oversight and control over the design, testing, performance, deployment and ongoing..."</w:t>
            </w:r>
          </w:p>
        </w:tc>
        <w:tc>
          <w:tcPr>
            <w:tcW w:type="dxa" w:w="2160"/>
          </w:tcPr>
          <w:p>
            <w:r>
              <w:t>Technology &amp; Information / Part I.G.1 / Rule I.G.1 / p13</w:t>
            </w:r>
          </w:p>
        </w:tc>
        <w:tc>
          <w:tcPr>
            <w:tcW w:type="dxa" w:w="2160"/>
          </w:tcPr>
          <w:p>
            <w:r>
              <w:t>算法治理：控制要求（见英文原文）。</w:t>
            </w:r>
          </w:p>
        </w:tc>
      </w:tr>
      <w:tr>
        <w:tc>
          <w:tcPr>
            <w:tcW w:type="dxa" w:w="2160"/>
          </w:tcPr>
          <w:p>
            <w:r>
              <w:t>C2</w:t>
            </w:r>
          </w:p>
        </w:tc>
        <w:tc>
          <w:tcPr>
            <w:tcW w:type="dxa" w:w="2160"/>
          </w:tcPr>
          <w:p>
            <w:r>
              <w:t>"VASPs must maintain documentation and records of the design, testing, performance, deployment and ongoing maintenance of such algorithms, including but not limited to the logic"</w:t>
            </w:r>
          </w:p>
        </w:tc>
        <w:tc>
          <w:tcPr>
            <w:tcW w:type="dxa" w:w="2160"/>
          </w:tcPr>
          <w:p>
            <w:r>
              <w:t>Technology &amp; Information / Part I.G.2 / Rule I.G.2 / p13</w:t>
            </w:r>
          </w:p>
        </w:tc>
        <w:tc>
          <w:tcPr>
            <w:tcW w:type="dxa" w:w="2160"/>
          </w:tcPr>
          <w:p>
            <w:r>
              <w:t>算法治理：控制要求（见英文原文）。</w:t>
            </w:r>
          </w:p>
        </w:tc>
      </w:tr>
      <w:tr>
        <w:tc>
          <w:tcPr>
            <w:tcW w:type="dxa" w:w="2160"/>
          </w:tcPr>
          <w:p>
            <w:r>
              <w:t>C3</w:t>
            </w:r>
          </w:p>
        </w:tc>
        <w:tc>
          <w:tcPr>
            <w:tcW w:type="dxa" w:w="2160"/>
          </w:tcPr>
          <w:p>
            <w:r>
              <w:t>"VASPs must ensure that they have qualified and competent Staff to ensure the proper functioning and supervision of such algorithms on an ongoing basis."</w:t>
            </w:r>
          </w:p>
        </w:tc>
        <w:tc>
          <w:tcPr>
            <w:tcW w:type="dxa" w:w="2160"/>
          </w:tcPr>
          <w:p>
            <w:r>
              <w:t>Technology &amp; Information / Part I.G.3 / Rule I.G.3 / p14</w:t>
            </w:r>
          </w:p>
        </w:tc>
        <w:tc>
          <w:tcPr>
            <w:tcW w:type="dxa" w:w="2160"/>
          </w:tcPr>
          <w:p>
            <w:r>
              <w:t>算法治理：控制要求（见英文原文）。</w:t>
            </w:r>
          </w:p>
        </w:tc>
      </w:tr>
      <w:tr>
        <w:tc>
          <w:tcPr>
            <w:tcW w:type="dxa" w:w="2160"/>
          </w:tcPr>
          <w:p>
            <w:r>
              <w:t>C4</w:t>
            </w:r>
          </w:p>
        </w:tc>
        <w:tc>
          <w:tcPr>
            <w:tcW w:type="dxa" w:w="2160"/>
          </w:tcPr>
          <w:p>
            <w:r>
              <w:t>"VASPs shall establish and maintain— a. an effective risk management function; b."</w:t>
            </w:r>
          </w:p>
        </w:tc>
        <w:tc>
          <w:tcPr>
            <w:tcW w:type="dxa" w:w="2160"/>
          </w:tcPr>
          <w:p>
            <w:r>
              <w:t>Compliance &amp; Risk / Part I.D.1 / Rule I.D.1 / p9</w:t>
            </w:r>
          </w:p>
        </w:tc>
        <w:tc>
          <w:tcPr>
            <w:tcW w:type="dxa" w:w="2160"/>
          </w:tcPr>
          <w:p>
            <w:r>
              <w:t>算法治理：控制要求（见英文原文）。</w:t>
            </w:r>
          </w:p>
        </w:tc>
      </w:tr>
      <w:tr>
        <w:tc>
          <w:tcPr>
            <w:tcW w:type="dxa" w:w="2160"/>
          </w:tcPr>
          <w:p>
            <w:r>
              <w:t>C5</w:t>
            </w:r>
          </w:p>
        </w:tc>
        <w:tc>
          <w:tcPr>
            <w:tcW w:type="dxa" w:w="2160"/>
          </w:tcPr>
          <w:p>
            <w:r>
              <w:t>"The head of the risk function of a VASP shall submit risk exposure reports to the Board which identify and report all actual or potential risks. Such reports must be submitted to the Board at least once every quarter, or more frequently if required for the..."</w:t>
            </w:r>
          </w:p>
        </w:tc>
        <w:tc>
          <w:tcPr>
            <w:tcW w:type="dxa" w:w="2160"/>
          </w:tcPr>
          <w:p>
            <w:r>
              <w:t>Compliance &amp; Risk / Part I.D.4 / Rule I.D.4 / p10</w:t>
            </w:r>
          </w:p>
        </w:tc>
        <w:tc>
          <w:tcPr>
            <w:tcW w:type="dxa" w:w="2160"/>
          </w:tcPr>
          <w:p>
            <w:r>
              <w:t>算法治理：控制要求（见英文原文）。</w:t>
            </w:r>
          </w:p>
        </w:tc>
      </w:tr>
      <w:tr>
        <w:tc>
          <w:tcPr>
            <w:tcW w:type="dxa" w:w="2160"/>
          </w:tcPr>
          <w:p>
            <w:r>
              <w:t>C6</w:t>
            </w:r>
          </w:p>
        </w:tc>
        <w:tc>
          <w:tcPr>
            <w:tcW w:type="dxa" w:w="2160"/>
          </w:tcPr>
          <w:p>
            <w:r>
              <w:t>"a development, maintenance and testing process for technology systems;"</w:t>
            </w:r>
          </w:p>
        </w:tc>
        <w:tc>
          <w:tcPr>
            <w:tcW w:type="dxa" w:w="2160"/>
          </w:tcPr>
          <w:p>
            <w:r>
              <w:t>Technology &amp; Information / Part I.A.4(a) / Rule I.A.4(a) / p5</w:t>
            </w:r>
          </w:p>
        </w:tc>
        <w:tc>
          <w:tcPr>
            <w:tcW w:type="dxa" w:w="2160"/>
          </w:tcPr>
          <w:p>
            <w:r>
              <w:t>算法治理：控制要求（见英文原文）。</w:t>
            </w:r>
          </w:p>
        </w:tc>
      </w:tr>
      <w:tr>
        <w:tc>
          <w:tcPr>
            <w:tcW w:type="dxa" w:w="2160"/>
          </w:tcPr>
          <w:p>
            <w:r>
              <w:t>C7</w:t>
            </w:r>
          </w:p>
        </w:tc>
        <w:tc>
          <w:tcPr>
            <w:tcW w:type="dxa" w:w="2160"/>
          </w:tcPr>
          <w:p>
            <w:r>
              <w:t>"the VASP’s cybersecurity objectives, including the requirements for the competency of Staff and, as relevant, end users and clients; and b. clearly defined policies, processes, procedures and controls necessary for managing risks, including, but not limited..."</w:t>
            </w:r>
          </w:p>
        </w:tc>
        <w:tc>
          <w:tcPr>
            <w:tcW w:type="dxa" w:w="2160"/>
          </w:tcPr>
          <w:p>
            <w:r>
              <w:t>Technology &amp; Information / Part I.A.5 / Rule I.A.5 / p5</w:t>
            </w:r>
          </w:p>
        </w:tc>
        <w:tc>
          <w:tcPr>
            <w:tcW w:type="dxa" w:w="2160"/>
          </w:tcPr>
          <w:p>
            <w:r>
              <w:t>算法治理：控制要求（见英文原文）。</w:t>
            </w:r>
          </w:p>
        </w:tc>
      </w:tr>
      <w:tr>
        <w:tc>
          <w:tcPr>
            <w:tcW w:type="dxa" w:w="2160"/>
          </w:tcPr>
          <w:p>
            <w:r>
              <w:t>C8</w:t>
            </w:r>
          </w:p>
        </w:tc>
        <w:tc>
          <w:tcPr>
            <w:tcW w:type="dxa" w:w="2160"/>
          </w:tcPr>
          <w:p>
            <w:r>
              <w:t>"maintaining sufficient records to prove that the VASP is in compliance with all applicable laws and regulatory requirements, including AML/CFT laws and requirements in Part III of this Compliance and Risk Management Rulebook;"</w:t>
            </w:r>
          </w:p>
        </w:tc>
        <w:tc>
          <w:tcPr>
            <w:tcW w:type="dxa" w:w="2160"/>
          </w:tcPr>
          <w:p>
            <w:r>
              <w:t>Compliance &amp; Risk / Part I.F.1(c) / Rule I.F.1(c) / p16</w:t>
            </w:r>
          </w:p>
        </w:tc>
        <w:tc>
          <w:tcPr>
            <w:tcW w:type="dxa" w:w="2160"/>
          </w:tcPr>
          <w:p>
            <w:r>
              <w:t>算法治理：控制要求（见英文原文）。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算法治理：相关活动必须形成可审计记录。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算法治理：相关证据与记录至少保留八(8)年。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算法治理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算法治理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算法治理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算法治理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算法治理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F-AUD-040-001 — 算法治理 主流程</w:t>
      </w:r>
    </w:p>
    <w:p>
      <w:r>
        <w:t>requirement_refs: C1/C2/C3/C4</w:t>
      </w:r>
    </w:p>
    <w:p>
      <w:r>
        <w:t>ASCII 流程图：</w:t>
      </w:r>
    </w:p>
    <w:p>
      <w:r>
        <w:t>[Start] -&gt; [Policy Approved] -&gt; [Execute 算法治理]</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F-AUD-040-002 — 算法治理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F-AUD-040-003 — 算法治理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算法治理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算法治理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算法治理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算法治理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算法治理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算法治理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算法治理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