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CAP-043_Audit_Compliance_Guide_v2</w:t>
      </w:r>
    </w:p>
    <w:p>
      <w:pPr>
        <w:jc w:val="center"/>
      </w:pPr>
      <w:r>
        <w:t>保密信息管理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CAP-043</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Technology &amp; Information Part III.A; Compliance &amp; Risk Part I.E; Company Part II.C; Market Conduct Part VI.A</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CAP-043（保密信息管理）在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shall take all reasonable steps to protect the ongoing confidentiality of all information related to their clients and all related properties and records. Such steps shall include implementing and enforcing appropriate policies, procedures and..."</w:t>
            </w:r>
          </w:p>
        </w:tc>
        <w:tc>
          <w:tcPr>
            <w:tcW w:type="dxa" w:w="2160"/>
          </w:tcPr>
          <w:p>
            <w:r>
              <w:t>Technology &amp; Information / Part III.A.1 / Rule III.A.1 / p18</w:t>
            </w:r>
          </w:p>
        </w:tc>
        <w:tc>
          <w:tcPr>
            <w:tcW w:type="dxa" w:w="2160"/>
          </w:tcPr>
          <w:p>
            <w:r>
              <w:t>保密信息管理：控制要求（见英文原文）。</w:t>
            </w:r>
          </w:p>
        </w:tc>
      </w:tr>
      <w:tr>
        <w:tc>
          <w:tcPr>
            <w:tcW w:type="dxa" w:w="2160"/>
          </w:tcPr>
          <w:p>
            <w:r>
              <w:t>C2</w:t>
            </w:r>
          </w:p>
        </w:tc>
        <w:tc>
          <w:tcPr>
            <w:tcW w:type="dxa" w:w="2160"/>
          </w:tcPr>
          <w:p>
            <w:r>
              <w:t>"Such policies, procedures and mechanisms shall require that use of any information related to a VASP’s clients is only made for the purposes for which the information is provided and in compliance with relevant confidentiality agreements which shall be..."</w:t>
            </w:r>
          </w:p>
        </w:tc>
        <w:tc>
          <w:tcPr>
            <w:tcW w:type="dxa" w:w="2160"/>
          </w:tcPr>
          <w:p>
            <w:r>
              <w:t>Technology &amp; Information / Part III.A.2 / Rule III.A.2 / p18</w:t>
            </w:r>
          </w:p>
        </w:tc>
        <w:tc>
          <w:tcPr>
            <w:tcW w:type="dxa" w:w="2160"/>
          </w:tcPr>
          <w:p>
            <w:r>
              <w:t>保密信息管理：控制要求（见英文原文）。</w:t>
            </w:r>
          </w:p>
        </w:tc>
      </w:tr>
      <w:tr>
        <w:tc>
          <w:tcPr>
            <w:tcW w:type="dxa" w:w="2160"/>
          </w:tcPr>
          <w:p>
            <w:r>
              <w:t>C3</w:t>
            </w:r>
          </w:p>
        </w:tc>
        <w:tc>
          <w:tcPr>
            <w:tcW w:type="dxa" w:w="2160"/>
          </w:tcPr>
          <w:p>
            <w:r>
              <w:t>"VASPs shall— a. familiarise Staff with— i."</w:t>
            </w:r>
          </w:p>
        </w:tc>
        <w:tc>
          <w:tcPr>
            <w:tcW w:type="dxa" w:w="2160"/>
          </w:tcPr>
          <w:p>
            <w:r>
              <w:t>Technology &amp; Information / Part III.A.3 / Rule III.A.3 / p18</w:t>
            </w:r>
          </w:p>
        </w:tc>
        <w:tc>
          <w:tcPr>
            <w:tcW w:type="dxa" w:w="2160"/>
          </w:tcPr>
          <w:p>
            <w:r>
              <w:t>保密信息管理：控制要求（见英文原文）。</w:t>
            </w:r>
          </w:p>
        </w:tc>
      </w:tr>
      <w:tr>
        <w:tc>
          <w:tcPr>
            <w:tcW w:type="dxa" w:w="2160"/>
          </w:tcPr>
          <w:p>
            <w:r>
              <w:t>C4</w:t>
            </w:r>
          </w:p>
        </w:tc>
        <w:tc>
          <w:tcPr>
            <w:tcW w:type="dxa" w:w="2160"/>
          </w:tcPr>
          <w:p>
            <w:r>
              <w:t>"Staff must not share confidential information within the VASP or with any other Entities unless it is absolutely necessary for the purposes of conducting VA Activities related to such confidential information."</w:t>
            </w:r>
          </w:p>
        </w:tc>
        <w:tc>
          <w:tcPr>
            <w:tcW w:type="dxa" w:w="2160"/>
          </w:tcPr>
          <w:p>
            <w:r>
              <w:t>Technology &amp; Information / Part III.A.4 / Rule III.A.4 / p18</w:t>
            </w:r>
          </w:p>
        </w:tc>
        <w:tc>
          <w:tcPr>
            <w:tcW w:type="dxa" w:w="2160"/>
          </w:tcPr>
          <w:p>
            <w:r>
              <w:t>保密信息管理：禁止事项（见英文原文）。</w:t>
            </w:r>
          </w:p>
        </w:tc>
      </w:tr>
      <w:tr>
        <w:tc>
          <w:tcPr>
            <w:tcW w:type="dxa" w:w="2160"/>
          </w:tcPr>
          <w:p>
            <w:r>
              <w:t>C5</w:t>
            </w:r>
          </w:p>
        </w:tc>
        <w:tc>
          <w:tcPr>
            <w:tcW w:type="dxa" w:w="2160"/>
          </w:tcPr>
          <w:p>
            <w:r>
              <w:t>"Neither VASPs nor their Staff shall use or share confidential information for the purpose of the trading of Virtual Assets by any Entity."</w:t>
            </w:r>
          </w:p>
        </w:tc>
        <w:tc>
          <w:tcPr>
            <w:tcW w:type="dxa" w:w="2160"/>
          </w:tcPr>
          <w:p>
            <w:r>
              <w:t>Technology &amp; Information / Part III.A.5 / Rule III.A.5 / p18</w:t>
            </w:r>
          </w:p>
        </w:tc>
        <w:tc>
          <w:tcPr>
            <w:tcW w:type="dxa" w:w="2160"/>
          </w:tcPr>
          <w:p>
            <w:r>
              <w:t>保密信息管理：控制要求（见英文原文）。</w:t>
            </w:r>
          </w:p>
        </w:tc>
      </w:tr>
      <w:tr>
        <w:tc>
          <w:tcPr>
            <w:tcW w:type="dxa" w:w="2160"/>
          </w:tcPr>
          <w:p>
            <w:r>
              <w:t>C6</w:t>
            </w:r>
          </w:p>
        </w:tc>
        <w:tc>
          <w:tcPr>
            <w:tcW w:type="dxa" w:w="2160"/>
          </w:tcPr>
          <w:p>
            <w:r>
              <w:t>"In addition to applicable requirements in the Market Conduct Rulebook, VASPs shall establish and enforce procedures to ensure that there are safeguards against any of their Staff or members of the Board taking advantage of confidential information or Inside..."</w:t>
            </w:r>
          </w:p>
        </w:tc>
        <w:tc>
          <w:tcPr>
            <w:tcW w:type="dxa" w:w="2160"/>
          </w:tcPr>
          <w:p>
            <w:r>
              <w:t>Compliance &amp; Risk / Part I.E.3 / Rule I.E.3 / p15</w:t>
            </w:r>
          </w:p>
        </w:tc>
        <w:tc>
          <w:tcPr>
            <w:tcW w:type="dxa" w:w="2160"/>
          </w:tcPr>
          <w:p>
            <w:r>
              <w:t>保密信息管理：控制要求（见英文原文）。</w:t>
            </w:r>
          </w:p>
        </w:tc>
      </w:tr>
      <w:tr>
        <w:tc>
          <w:tcPr>
            <w:tcW w:type="dxa" w:w="2160"/>
          </w:tcPr>
          <w:p>
            <w:r>
              <w:t>C7</w:t>
            </w:r>
          </w:p>
        </w:tc>
        <w:tc>
          <w:tcPr>
            <w:tcW w:type="dxa" w:w="2160"/>
          </w:tcPr>
          <w:p>
            <w:r>
              <w:t>"If a VASP, a member of the Board or any of its Staff has an interest that may reasonably impair its objectivity, in a transaction with or for a client or a relationship which gives rise to an actual or potential conflicts of interest in relation to the..."</w:t>
            </w:r>
          </w:p>
        </w:tc>
        <w:tc>
          <w:tcPr>
            <w:tcW w:type="dxa" w:w="2160"/>
          </w:tcPr>
          <w:p>
            <w:r>
              <w:t>Company / Part II.C.2 / Rule II.C.2 / p15</w:t>
            </w:r>
          </w:p>
        </w:tc>
        <w:tc>
          <w:tcPr>
            <w:tcW w:type="dxa" w:w="2160"/>
          </w:tcPr>
          <w:p>
            <w:r>
              <w:t>保密信息管理：控制要求（见英文原文）。</w:t>
            </w:r>
          </w:p>
        </w:tc>
      </w:tr>
      <w:tr>
        <w:tc>
          <w:tcPr>
            <w:tcW w:type="dxa" w:w="2160"/>
          </w:tcPr>
          <w:p>
            <w:r>
              <w:t>C8</w:t>
            </w:r>
          </w:p>
        </w:tc>
        <w:tc>
          <w:tcPr>
            <w:tcW w:type="dxa" w:w="2160"/>
          </w:tcPr>
          <w:p>
            <w:r>
              <w:t>"VASPs shall take all reasonable steps to ensure that any Entity on the Insider List acknowledges in writing the legal and regulatory duties entailed and is aware of the sanctions applicable to Insider Dealing and unlawful disclosure of Inside Information."</w:t>
            </w:r>
          </w:p>
        </w:tc>
        <w:tc>
          <w:tcPr>
            <w:tcW w:type="dxa" w:w="2160"/>
          </w:tcPr>
          <w:p>
            <w:r>
              <w:t>Market Conduct / Part VI.A.5 / Rule VI.A.5 / p14</w:t>
            </w:r>
          </w:p>
        </w:tc>
        <w:tc>
          <w:tcPr>
            <w:tcW w:type="dxa" w:w="2160"/>
          </w:tcPr>
          <w:p>
            <w:r>
              <w:t>保密信息管理：控制要求（见英文原文）。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保密信息管理：相关活动必须形成可审计记录。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保密信息管理：相关证据与记录至少保留八(8)年。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保密信息管理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保密信息管理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保密信息管理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保密信息管理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保密信息管理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F-AUD-043-001 — 保密信息管理 主流程</w:t>
      </w:r>
    </w:p>
    <w:p>
      <w:r>
        <w:t>requirement_refs: C1/C2/C3/C4</w:t>
      </w:r>
    </w:p>
    <w:p>
      <w:r>
        <w:t>ASCII 流程图：</w:t>
      </w:r>
    </w:p>
    <w:p>
      <w:r>
        <w:t>[Start] -&gt; [Policy Approved] -&gt; [Execute 保密信息管理]</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F-AUD-043-002 — 保密信息管理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F-AUD-043-003 — 保密信息管理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保密信息管理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保密信息管理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保密信息管理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保密信息管理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保密信息管理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保密信息管理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保密信息管理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