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t>CAP-044_Audit_Compliance_Guide_v2</w:t>
      </w:r>
    </w:p>
    <w:p>
      <w:pPr>
        <w:jc w:val="center"/>
      </w:pPr>
      <w:r>
        <w:t>数据/网络事件时效通知（24h/72h）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CAP-044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I.F; Technology &amp; Information Part I.K; Technology &amp; Information Part II.C; Compliance &amp; Risk Part I.I; Technology &amp; Information Part I.B; Technology &amp; Information Schedule 1 C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CAP-044（数据/网络事件时效通知（24h/72h））在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"In addition to relevant requirements in the Compliance and Risk Management Rulebook, u pon the detection of any occurrence of (i) a material cybersecurity event or (ii) an event triggering the implementation of the BCDR Plan that materially impacts a VASP’s..."</w:t>
            </w:r>
          </w:p>
        </w:tc>
        <w:tc>
          <w:tcPr>
            <w:tcW w:type="dxa" w:w="2160"/>
          </w:tcPr>
          <w:p>
            <w:r>
              <w:t>Technology &amp; Information / Part I.K.1 / Rule I.K.1 / p15</w:t>
            </w:r>
          </w:p>
        </w:tc>
        <w:tc>
          <w:tcPr>
            <w:tcW w:type="dxa" w:w="2160"/>
          </w:tcPr>
          <w:p>
            <w:r>
              <w:t>数据/网络事件时效通知（24h/72h）：控制要求（见英文原文）。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"VASPs shall notify VARA as soon as possible and in any event within twenty-four (24) hours following notification by them to either— a. any data regulator, including in the UAE; or b."</w:t>
            </w:r>
          </w:p>
        </w:tc>
        <w:tc>
          <w:tcPr>
            <w:tcW w:type="dxa" w:w="2160"/>
          </w:tcPr>
          <w:p>
            <w:r>
              <w:t>Technology &amp; Information / Part II.C.2 / Rule II.C.2 / p17</w:t>
            </w:r>
          </w:p>
        </w:tc>
        <w:tc>
          <w:tcPr>
            <w:tcW w:type="dxa" w:w="2160"/>
          </w:tcPr>
          <w:p>
            <w:r>
              <w:t>数据/网络事件时效通知（24h/72h）：禁止事项（关键时效/频率：24 hours）。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"VASPs shall comply with all requirements in the Technology and Information Rulebook with regards to notifying VARA of incidents relating to a cybersecurity breach, including but not limited to incidents involving a loss of information or affecting Personal..."</w:t>
            </w:r>
          </w:p>
        </w:tc>
        <w:tc>
          <w:tcPr>
            <w:tcW w:type="dxa" w:w="2160"/>
          </w:tcPr>
          <w:p>
            <w:r>
              <w:t>Compliance &amp; Risk / Part I.I.4 / Rule I.I.4 / p20</w:t>
            </w:r>
          </w:p>
        </w:tc>
        <w:tc>
          <w:tcPr>
            <w:tcW w:type="dxa" w:w="2160"/>
          </w:tcPr>
          <w:p>
            <w:r>
              <w:t>数据/网络事件时效通知（24h/72h）：控制要求（见英文原文）。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"VASPs must create and implement a policy which outlines their procedures for the protection of their electronic systems and client and counterparty data stored on those systems ("Cybersecurity Policy "). VASP s must submit their Cybersecurity Policy to VARA..."</w:t>
            </w:r>
          </w:p>
        </w:tc>
        <w:tc>
          <w:tcPr>
            <w:tcW w:type="dxa" w:w="2160"/>
          </w:tcPr>
          <w:p>
            <w:r>
              <w:t>Technology &amp; Information / Part I.B.1 / Rule I.B.1 / p6</w:t>
            </w:r>
          </w:p>
        </w:tc>
        <w:tc>
          <w:tcPr>
            <w:tcW w:type="dxa" w:w="2160"/>
          </w:tcPr>
          <w:p>
            <w:r>
              <w:t>数据/网络事件时效通知（24h/72h）：控制要求（见英文原文）。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"incident response , including but not limited to root cause analysis and rectification activities to prevent reoccurrence;"</w:t>
            </w:r>
          </w:p>
        </w:tc>
        <w:tc>
          <w:tcPr>
            <w:tcW w:type="dxa" w:w="2160"/>
          </w:tcPr>
          <w:p>
            <w:r>
              <w:t>Technology &amp; Information / Part I.B.3(o) / Rule I.B.3(o) / p8</w:t>
            </w:r>
          </w:p>
        </w:tc>
        <w:tc>
          <w:tcPr>
            <w:tcW w:type="dxa" w:w="2160"/>
          </w:tcPr>
          <w:p>
            <w:r>
              <w:t>数据/网络事件时效通知（24h/72h）：控制要求（见英文原文）。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"Investigation capability standard : To enhance the ability to identify attack vectors and compromised assets during incidents, VASPs are expected to maintain comprehensive investigation capabilities, including but not limited to— a. dedicated forensic..."</w:t>
            </w:r>
          </w:p>
        </w:tc>
        <w:tc>
          <w:tcPr>
            <w:tcW w:type="dxa" w:w="2160"/>
          </w:tcPr>
          <w:p>
            <w:r>
              <w:t>Technology &amp; Information / Schedule 1 C.5 / Guidance C.5 / p26</w:t>
            </w:r>
          </w:p>
        </w:tc>
        <w:tc>
          <w:tcPr>
            <w:tcW w:type="dxa" w:w="2160"/>
          </w:tcPr>
          <w:p>
            <w:r>
              <w:t>数据/网络事件时效通知（24h/72h）：控制要求（见英文原文）。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"Remediation standard: To reduce the risk of re-exploitation, VASPs are expected to implement comprehensive remediation procedures, including but not limited to— a. complete rotation of all secret components (including but not limited to passwords, keys and..."</w:t>
            </w:r>
          </w:p>
        </w:tc>
        <w:tc>
          <w:tcPr>
            <w:tcW w:type="dxa" w:w="2160"/>
          </w:tcPr>
          <w:p>
            <w:r>
              <w:t>Technology &amp; Information / Schedule 1 C.7 / Guidance C.7 / p26</w:t>
            </w:r>
          </w:p>
        </w:tc>
        <w:tc>
          <w:tcPr>
            <w:tcW w:type="dxa" w:w="2160"/>
          </w:tcPr>
          <w:p>
            <w:r>
              <w:t>数据/网络事件时效通知（24h/72h）：控制要求（见英文原文）。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"VASPs shall submit a report to VARA immediately upon the discovery of any violation or breach of any law, Regulation, Rule or Directive related to the conduct of any VA Activity."</w:t>
            </w:r>
          </w:p>
        </w:tc>
        <w:tc>
          <w:tcPr>
            <w:tcW w:type="dxa" w:w="2160"/>
          </w:tcPr>
          <w:p>
            <w:r>
              <w:t>Compliance &amp; Risk / Part I.I.2 / Rule I.I.2 / p20</w:t>
            </w:r>
          </w:p>
        </w:tc>
        <w:tc>
          <w:tcPr>
            <w:tcW w:type="dxa" w:w="2160"/>
          </w:tcPr>
          <w:p>
            <w:r>
              <w:t>数据/网络事件时效通知（24h/72h）：控制要求（见英文原文）。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including ... proper audit trails of all transactions"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数据/网络事件时效通知（24h/72h）：相关活动必须形成可审计记录。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数据/网络事件时效通知（24h/72h）：相关证据与记录至少保留八(8)年。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数据/网络事件时效通知（24h/72h）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数据/网络事件时效通知（24h/72h）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数据/网络事件时效通知（24h/72h） 异常与升级处置</w:t>
            </w:r>
          </w:p>
        </w:tc>
        <w:tc>
          <w:tcPr>
            <w:tcW w:type="dxa" w:w="1440"/>
          </w:tcPr>
          <w:p>
            <w:r>
              <w:t>按 C5/C6 识别异常并升级处置</w:t>
            </w:r>
          </w:p>
        </w:tc>
        <w:tc>
          <w:tcPr>
            <w:tcW w:type="dxa" w:w="1440"/>
          </w:tcPr>
          <w:p>
            <w:r>
              <w:t>异常闭环且处置可审计</w:t>
            </w:r>
          </w:p>
        </w:tc>
        <w:tc>
          <w:tcPr>
            <w:tcW w:type="dxa" w:w="1440"/>
          </w:tcPr>
          <w:p>
            <w:r>
              <w:t>升级管理层/必要时暂停</w:t>
            </w:r>
          </w:p>
        </w:tc>
        <w:tc>
          <w:tcPr>
            <w:tcW w:type="dxa" w:w="1440"/>
          </w:tcPr>
          <w:p>
            <w:r>
              <w:t>异常工单+处置结论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数据/网络事件时效通知（24h/72h） 监控与复核</w:t>
            </w:r>
          </w:p>
        </w:tc>
        <w:tc>
          <w:tcPr>
            <w:tcW w:type="dxa" w:w="1440"/>
          </w:tcPr>
          <w:p>
            <w:r>
              <w:t>按 C7 要求开展监控/复核</w:t>
            </w:r>
          </w:p>
        </w:tc>
        <w:tc>
          <w:tcPr>
            <w:tcW w:type="dxa" w:w="1440"/>
          </w:tcPr>
          <w:p>
            <w:r>
              <w:t>复核按频率完成且结论可追溯</w:t>
            </w:r>
          </w:p>
        </w:tc>
        <w:tc>
          <w:tcPr>
            <w:tcW w:type="dxa" w:w="1440"/>
          </w:tcPr>
          <w:p>
            <w:r>
              <w:t>整改并复核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数据/网络事件时效通知（24h/72h） 通知/对账/报送（如适用）</w:t>
            </w:r>
          </w:p>
        </w:tc>
        <w:tc>
          <w:tcPr>
            <w:tcW w:type="dxa" w:w="1440"/>
          </w:tcPr>
          <w:p>
            <w:r>
              <w:t>按 C8 触发通知/对账/报告</w:t>
            </w:r>
          </w:p>
        </w:tc>
        <w:tc>
          <w:tcPr>
            <w:tcW w:type="dxa" w:w="1440"/>
          </w:tcPr>
          <w:p>
            <w:r>
              <w:t>时效满足且记录可追溯</w:t>
            </w:r>
          </w:p>
        </w:tc>
        <w:tc>
          <w:tcPr>
            <w:tcW w:type="dxa" w:w="1440"/>
          </w:tcPr>
          <w:p>
            <w:r>
              <w:t>立即纠偏并记录原因</w:t>
            </w:r>
          </w:p>
        </w:tc>
        <w:tc>
          <w:tcPr>
            <w:tcW w:type="dxa" w:w="1440"/>
          </w:tcPr>
          <w:p>
            <w:r>
              <w:t>通知/对账/报送记录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记录留存与抽检响应</w:t>
            </w:r>
          </w:p>
        </w:tc>
        <w:tc>
          <w:tcPr>
            <w:tcW w:type="dxa" w:w="1440"/>
          </w:tcPr>
          <w:p>
            <w:r>
              <w:t>满足 C9/C10 审计追踪与留存</w:t>
            </w:r>
          </w:p>
        </w:tc>
        <w:tc>
          <w:tcPr>
            <w:tcW w:type="dxa" w:w="1440"/>
          </w:tcPr>
          <w:p>
            <w:r>
              <w:t>随时可导出证据包</w:t>
            </w:r>
          </w:p>
        </w:tc>
        <w:tc>
          <w:tcPr>
            <w:tcW w:type="dxa" w:w="1440"/>
          </w:tcPr>
          <w:p>
            <w:r>
              <w:t>补录纠偏并出具解释</w:t>
            </w:r>
          </w:p>
        </w:tc>
        <w:tc>
          <w:tcPr>
            <w:tcW w:type="dxa" w:w="1440"/>
          </w:tcPr>
          <w:p>
            <w:r>
              <w:t>证据包+导出记录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F-AUD-044-001 — 数据/网络事件时效通知（24h/72h） 主流程</w:t>
      </w:r>
    </w:p>
    <w:p>
      <w:r>
        <w:t>requirement_refs: C1/C2/C3/C4</w:t>
      </w:r>
    </w:p>
    <w:p>
      <w:r>
        <w:t>ASCII 流程图：</w:t>
      </w:r>
    </w:p>
    <w:p>
      <w:r>
        <w:t>[Start] -&gt; [Policy Approved] -&gt; [Execute 数据/网络事件时效通知（24h/72h）]</w:t>
        <w:br/>
        <w:t xml:space="preserve"> -&gt; [Check + Record Evidence] -&gt; [End]</w:t>
      </w:r>
    </w:p>
    <w:p>
      <w:r>
        <w:t>Mermaid 代码：</w:t>
      </w:r>
    </w:p>
    <w:p>
      <w:r>
        <w:t>```mermaid</w:t>
        <w:br/>
        <w:t>flowchart TD</w:t>
        <w:br/>
        <w:t>A[Start] --&gt; B[Policy Approved]</w:t>
        <w:br/>
        <w:t>B --&gt; C[Execute CAP Controls]</w:t>
        <w:br/>
        <w:t>C --&gt; D[Check and Record Evidence]</w:t>
        <w:br/>
        <w:t>D --&gt; Z[End]</w:t>
        <w:br/>
        <w:t>```</w:t>
      </w:r>
    </w:p>
    <w:p>
      <w:r>
        <w:t>F-AUD-044-002 — 数据/网络事件时效通知（24h/72h） 异常/升级处置流程</w:t>
      </w:r>
    </w:p>
    <w:p>
      <w:r>
        <w:t>requirement_refs: C5/C6/C8</w:t>
      </w:r>
    </w:p>
    <w:p>
      <w:r>
        <w:t>ASCII 流程图：</w:t>
      </w:r>
    </w:p>
    <w:p>
      <w: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t>```mermaid</w:t>
        <w:br/>
        <w:t>flowchart TD</w:t>
        <w:br/>
        <w:t>A[Trigger Exception] --&gt; B[Escalate]</w:t>
        <w:br/>
        <w:t>B --&gt; C{Approve?}</w:t>
        <w:br/>
        <w:t>C -- Yes --&gt; D[Mitigate and Proceed]</w:t>
        <w:br/>
        <w:t>C -- No --&gt; E[Block and Notify]</w:t>
        <w:br/>
        <w:t>D --&gt; F[Close Case]</w:t>
        <w:br/>
        <w:t>E --&gt; F</w:t>
        <w:br/>
        <w:t>```</w:t>
      </w:r>
    </w:p>
    <w:p>
      <w:r>
        <w:t>F-AUD-044-003 — 数据/网络事件时效通知（24h/72h） 证据归档与抽检响应流程</w:t>
      </w:r>
    </w:p>
    <w:p>
      <w:r>
        <w:t>requirement_refs: C7/C9/C10</w:t>
      </w:r>
    </w:p>
    <w:p>
      <w:r>
        <w:t>ASCII 流程图：</w:t>
      </w:r>
    </w:p>
    <w:p>
      <w: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Request?}</w:t>
        <w:br/>
        <w:t>D -- Yes --&gt; E[Export Evidence Pack]</w:t>
        <w:br/>
        <w:t>D -- No --&gt; F[Archive]</w:t>
        <w:br/>
        <w:t>E --&gt; F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数据/网络事件时效通知（24h/72h）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数据/网络事件时效通知（24h/72h）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数据/网络事件时效通知（24h/72h）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数据/网络事件时效通知（24h/72h）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数据/网络事件时效通知（24h/72h）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按事件/每日（按条款）（例如 24 hours）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按触发（例如 24 hours）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按条款（可能每日/每月/至少年度）（例如 24 hours）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按触发/按周期（例如 24 hours）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数据/网络事件时效通知（24h/72h）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数据/网络事件时效通知（24h/72h）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