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CAP-045_Audit_Compliance_Guide_v2</w:t>
      </w:r>
    </w:p>
    <w:p>
      <w:pPr>
        <w:jc w:val="center"/>
      </w:pPr>
      <w:r>
        <w:t>记录留存与审计追踪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CAP-045</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CAP-045（记录留存与审计追踪）在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shall keep their books and records properly in their original form or native file format (including as recorded on distributed ledgers where appropriate), including— a. keeping proper audit trails of all transactions, such as the amount, date and time..."</w:t>
            </w:r>
          </w:p>
        </w:tc>
        <w:tc>
          <w:tcPr>
            <w:tcW w:type="dxa" w:w="2160"/>
          </w:tcPr>
          <w:p>
            <w:r>
              <w:t>Compliance &amp; Risk / Part I.F.1 / Rule I.F.1 / p16</w:t>
            </w:r>
          </w:p>
        </w:tc>
        <w:tc>
          <w:tcPr>
            <w:tcW w:type="dxa" w:w="2160"/>
          </w:tcPr>
          <w:p>
            <w:r>
              <w:t>记录留存与审计追踪：控制要求（见英文原文）。</w:t>
            </w:r>
          </w:p>
        </w:tc>
      </w:tr>
      <w:tr>
        <w:tc>
          <w:tcPr>
            <w:tcW w:type="dxa" w:w="2160"/>
          </w:tcPr>
          <w:p>
            <w:r>
              <w:t>C2</w:t>
            </w:r>
          </w:p>
        </w:tc>
        <w:tc>
          <w:tcPr>
            <w:tcW w:type="dxa" w:w="2160"/>
          </w:tcPr>
          <w:p>
            <w:r>
              <w:t>"keeping proper audit trails of all transactions, such as the amount, date and time of each transaction, any payment instruction, the total amount of fees and charges, the names, details of accounts or VA Wallet s and country of residence of the clients and to..."</w:t>
            </w:r>
          </w:p>
        </w:tc>
        <w:tc>
          <w:tcPr>
            <w:tcW w:type="dxa" w:w="2160"/>
          </w:tcPr>
          <w:p>
            <w:r>
              <w:t>Compliance &amp; Risk / Part I.F.1(a) / Rule I.F.1(a) / p16</w:t>
            </w:r>
          </w:p>
        </w:tc>
        <w:tc>
          <w:tcPr>
            <w:tcW w:type="dxa" w:w="2160"/>
          </w:tcPr>
          <w:p>
            <w:r>
              <w:t>记录留存与审计追踪：控制要求（见英文原文）。</w:t>
            </w:r>
          </w:p>
        </w:tc>
      </w:tr>
      <w:tr>
        <w:tc>
          <w:tcPr>
            <w:tcW w:type="dxa" w:w="2160"/>
          </w:tcPr>
          <w:p>
            <w:r>
              <w:t>C3</w:t>
            </w:r>
          </w:p>
        </w:tc>
        <w:tc>
          <w:tcPr>
            <w:tcW w:type="dxa" w:w="2160"/>
          </w:tcPr>
          <w:p>
            <w:r>
              <w:t>"keeping proper records to enable the VASP to carry out an audit in a convenient manner;"</w:t>
            </w:r>
          </w:p>
        </w:tc>
        <w:tc>
          <w:tcPr>
            <w:tcW w:type="dxa" w:w="2160"/>
          </w:tcPr>
          <w:p>
            <w:r>
              <w:t>Compliance &amp; Risk / Part I.F.1(d) / Rule I.F.1(d) / p16</w:t>
            </w:r>
          </w:p>
        </w:tc>
        <w:tc>
          <w:tcPr>
            <w:tcW w:type="dxa" w:w="2160"/>
          </w:tcPr>
          <w:p>
            <w:r>
              <w:t>记录留存与审计追踪：控制要求（见英文原文）。</w:t>
            </w:r>
          </w:p>
        </w:tc>
      </w:tr>
      <w:tr>
        <w:tc>
          <w:tcPr>
            <w:tcW w:type="dxa" w:w="2160"/>
          </w:tcPr>
          <w:p>
            <w:r>
              <w:t>C4</w:t>
            </w:r>
          </w:p>
        </w:tc>
        <w:tc>
          <w:tcPr>
            <w:tcW w:type="dxa" w:w="2160"/>
          </w:tcPr>
          <w:p>
            <w:r>
              <w:t>"keeping a general ledger containing all assets (including Virtual Assets ), liabilities, ownership equity, income and expense accounts;"</w:t>
            </w:r>
          </w:p>
        </w:tc>
        <w:tc>
          <w:tcPr>
            <w:tcW w:type="dxa" w:w="2160"/>
          </w:tcPr>
          <w:p>
            <w:r>
              <w:t>Compliance &amp; Risk / Part I.F.1(e) / Rule I.F.1(e) / p16</w:t>
            </w:r>
          </w:p>
        </w:tc>
        <w:tc>
          <w:tcPr>
            <w:tcW w:type="dxa" w:w="2160"/>
          </w:tcPr>
          <w:p>
            <w:r>
              <w:t>记录留存与审计追踪：控制要求（见英文原文）。</w:t>
            </w:r>
          </w:p>
        </w:tc>
      </w:tr>
      <w:tr>
        <w:tc>
          <w:tcPr>
            <w:tcW w:type="dxa" w:w="2160"/>
          </w:tcPr>
          <w:p>
            <w:r>
              <w:t>C5</w:t>
            </w:r>
          </w:p>
        </w:tc>
        <w:tc>
          <w:tcPr>
            <w:tcW w:type="dxa" w:w="2160"/>
          </w:tcPr>
          <w:p>
            <w:r>
              <w:t>"retaining communications and documentation related to investigations of client complaints and transaction error resolution or concerning facts giving rise to potential violation of laws and regulatory requirements; and"</w:t>
            </w:r>
          </w:p>
        </w:tc>
        <w:tc>
          <w:tcPr>
            <w:tcW w:type="dxa" w:w="2160"/>
          </w:tcPr>
          <w:p>
            <w:r>
              <w:t>Compliance &amp; Risk / Part I.F.1(h) / Rule I.F.1(h) / p17</w:t>
            </w:r>
          </w:p>
        </w:tc>
        <w:tc>
          <w:tcPr>
            <w:tcW w:type="dxa" w:w="2160"/>
          </w:tcPr>
          <w:p>
            <w:r>
              <w:t>记录留存与审计追踪：控制要求（见英文原文）。</w:t>
            </w:r>
          </w:p>
        </w:tc>
      </w:tr>
      <w:tr>
        <w:tc>
          <w:tcPr>
            <w:tcW w:type="dxa" w:w="2160"/>
          </w:tcPr>
          <w:p>
            <w:r>
              <w:t>C6</w:t>
            </w:r>
          </w:p>
        </w:tc>
        <w:tc>
          <w:tcPr>
            <w:tcW w:type="dxa" w:w="2160"/>
          </w:tcPr>
          <w:p>
            <w:r>
              <w:t>"maintaining a conflicts of interest register in accordance with the Company Rulebook."</w:t>
            </w:r>
          </w:p>
        </w:tc>
        <w:tc>
          <w:tcPr>
            <w:tcW w:type="dxa" w:w="2160"/>
          </w:tcPr>
          <w:p>
            <w:r>
              <w:t>Compliance &amp; Risk / Part I.F.1(i) / Rule I.F.1(i) / p17</w:t>
            </w:r>
          </w:p>
        </w:tc>
        <w:tc>
          <w:tcPr>
            <w:tcW w:type="dxa" w:w="2160"/>
          </w:tcPr>
          <w:p>
            <w:r>
              <w:t>记录留存与审计追踪：控制要求（见英文原文）。</w:t>
            </w:r>
          </w:p>
        </w:tc>
      </w:tr>
      <w:tr>
        <w:tc>
          <w:tcPr>
            <w:tcW w:type="dxa" w:w="2160"/>
          </w:tcPr>
          <w:p>
            <w:r>
              <w:t>C7</w:t>
            </w:r>
          </w:p>
        </w:tc>
        <w:tc>
          <w:tcPr>
            <w:tcW w:type="dxa" w:w="2160"/>
          </w:tcPr>
          <w:p>
            <w:r>
              <w:t>"VASPs shall retain each such record as set out in Rule I.F.1 of this Compliance and Risk Management Rulebook in accordance with the following timelines— a. no less than eight (8) years; or b."</w:t>
            </w:r>
          </w:p>
        </w:tc>
        <w:tc>
          <w:tcPr>
            <w:tcW w:type="dxa" w:w="2160"/>
          </w:tcPr>
          <w:p>
            <w:r>
              <w:t>Compliance &amp; Risk / Part I.F.2 / Rule I.F.2 / p17</w:t>
            </w:r>
          </w:p>
        </w:tc>
        <w:tc>
          <w:tcPr>
            <w:tcW w:type="dxa" w:w="2160"/>
          </w:tcPr>
          <w:p>
            <w:r>
              <w:t>记录留存与审计追踪：控制要求（见英文原文）。</w:t>
            </w:r>
          </w:p>
        </w:tc>
      </w:tr>
      <w:tr>
        <w:tc>
          <w:tcPr>
            <w:tcW w:type="dxa" w:w="2160"/>
          </w:tcPr>
          <w:p>
            <w:r>
              <w:t>C8</w:t>
            </w:r>
          </w:p>
        </w:tc>
        <w:tc>
          <w:tcPr>
            <w:tcW w:type="dxa" w:w="2160"/>
          </w:tcPr>
          <w:p>
            <w:r>
              <w:t>"VASPs shall furnish copies of any records to VARA in accordance with all applicable requirements in the Regulations, Rules or Directives."</w:t>
            </w:r>
          </w:p>
        </w:tc>
        <w:tc>
          <w:tcPr>
            <w:tcW w:type="dxa" w:w="2160"/>
          </w:tcPr>
          <w:p>
            <w:r>
              <w:t>Compliance &amp; Risk / Part I.F.3 / Rule I.F.3 / p17</w:t>
            </w:r>
          </w:p>
        </w:tc>
        <w:tc>
          <w:tcPr>
            <w:tcW w:type="dxa" w:w="2160"/>
          </w:tcPr>
          <w:p>
            <w:r>
              <w:t>记录留存与审计追踪：控制要求（见英文原文）。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记录留存与审计追踪：相关活动必须形成可审计记录。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记录留存与审计追踪：相关证据与记录至少保留八(8)年。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记录留存与审计追踪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记录留存与审计追踪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记录留存与审计追踪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记录留存与审计追踪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记录留存与审计追踪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F-AUD-045-001 — 记录留存与审计追踪 主流程</w:t>
      </w:r>
    </w:p>
    <w:p>
      <w:r>
        <w:t>requirement_refs: C1/C2/C3/C4</w:t>
      </w:r>
    </w:p>
    <w:p>
      <w:r>
        <w:t>ASCII 流程图：</w:t>
      </w:r>
    </w:p>
    <w:p>
      <w:r>
        <w:t>[Start] -&gt; [Policy Approved] -&gt; [Execute 记录留存与审计追踪]</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F-AUD-045-002 — 记录留存与审计追踪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F-AUD-045-003 — 记录留存与审计追踪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记录留存与审计追踪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记录留存与审计追踪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记录留存与审计追踪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记录留存与审计追踪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记录留存与审计追踪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记录留存与审计追踪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记录留存与审计追踪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