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CAP-046_Audit_Compliance_Guide_v2</w:t>
      </w:r>
    </w:p>
    <w:p>
      <w:pPr>
        <w:jc w:val="center"/>
      </w:pPr>
      <w:r>
        <w:t>投诉受理与时效管理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CAP-046</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Market Conduct Part III.A; Market Conduct Part III.B; Compliance &amp; Risk Part I.B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CAP-046（投诉受理与时效管理）在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acknowledge all complaints within one (1) week of a complaint being made; and"</w:t>
            </w:r>
          </w:p>
        </w:tc>
        <w:tc>
          <w:tcPr>
            <w:tcW w:type="dxa" w:w="2160"/>
          </w:tcPr>
          <w:p>
            <w:r>
              <w:t>Market Conduct / Part III.A.1(a) / Rule III.A.1(a) / p8</w:t>
            </w:r>
          </w:p>
        </w:tc>
        <w:tc>
          <w:tcPr>
            <w:tcW w:type="dxa" w:w="2160"/>
          </w:tcPr>
          <w:p>
            <w:r>
              <w:t>投诉受理与时效管理：控制要求（关键时效/频率：1 week）。</w:t>
            </w:r>
          </w:p>
        </w:tc>
      </w:tr>
      <w:tr>
        <w:tc>
          <w:tcPr>
            <w:tcW w:type="dxa" w:w="2160"/>
          </w:tcPr>
          <w:p>
            <w:r>
              <w:t>C2</w:t>
            </w:r>
          </w:p>
        </w:tc>
        <w:tc>
          <w:tcPr>
            <w:tcW w:type="dxa" w:w="2160"/>
          </w:tcPr>
          <w:p>
            <w:r>
              <w:t>"VASPs shall resolve all complaints within four (4) weeks of the complaint being made, except in extraordinary circumstances, in which case VASPs must—"</w:t>
            </w:r>
          </w:p>
        </w:tc>
        <w:tc>
          <w:tcPr>
            <w:tcW w:type="dxa" w:w="2160"/>
          </w:tcPr>
          <w:p>
            <w:r>
              <w:t>Market Conduct / Part III.A.1(b) / Rule III.A.1(b) / p8</w:t>
            </w:r>
          </w:p>
        </w:tc>
        <w:tc>
          <w:tcPr>
            <w:tcW w:type="dxa" w:w="2160"/>
          </w:tcPr>
          <w:p>
            <w:r>
              <w:t>投诉受理与时效管理：控制要求（关键时效/频率：4 weeks）。</w:t>
            </w:r>
          </w:p>
        </w:tc>
      </w:tr>
      <w:tr>
        <w:tc>
          <w:tcPr>
            <w:tcW w:type="dxa" w:w="2160"/>
          </w:tcPr>
          <w:p>
            <w:r>
              <w:t>C3</w:t>
            </w:r>
          </w:p>
        </w:tc>
        <w:tc>
          <w:tcPr>
            <w:tcW w:type="dxa" w:w="2160"/>
          </w:tcPr>
          <w:p>
            <w:r>
              <w:t>"VASPs shall make available to their clients an easy-to-use template form for filing complaints and provide accessible means, along with clear instructions, on where such complaints can be submitted, however shall not limit customers to only submitting..."</w:t>
            </w:r>
          </w:p>
        </w:tc>
        <w:tc>
          <w:tcPr>
            <w:tcW w:type="dxa" w:w="2160"/>
          </w:tcPr>
          <w:p>
            <w:r>
              <w:t>Market Conduct / Part III.A.2 / Rule III.A.2 / p8</w:t>
            </w:r>
          </w:p>
        </w:tc>
        <w:tc>
          <w:tcPr>
            <w:tcW w:type="dxa" w:w="2160"/>
          </w:tcPr>
          <w:p>
            <w:r>
              <w:t>投诉受理与时效管理：禁止事项（见英文原文）。</w:t>
            </w:r>
          </w:p>
        </w:tc>
      </w:tr>
      <w:tr>
        <w:tc>
          <w:tcPr>
            <w:tcW w:type="dxa" w:w="2160"/>
          </w:tcPr>
          <w:p>
            <w:r>
              <w:t>C4</w:t>
            </w:r>
          </w:p>
        </w:tc>
        <w:tc>
          <w:tcPr>
            <w:tcW w:type="dxa" w:w="2160"/>
          </w:tcPr>
          <w:p>
            <w:r>
              <w:t>"VASPs shall not impose any fees or charges for the submission or handling of any complaints."</w:t>
            </w:r>
          </w:p>
        </w:tc>
        <w:tc>
          <w:tcPr>
            <w:tcW w:type="dxa" w:w="2160"/>
          </w:tcPr>
          <w:p>
            <w:r>
              <w:t>Market Conduct / Part III.A.4 / Rule III.A.4 / p8</w:t>
            </w:r>
          </w:p>
        </w:tc>
        <w:tc>
          <w:tcPr>
            <w:tcW w:type="dxa" w:w="2160"/>
          </w:tcPr>
          <w:p>
            <w:r>
              <w:t>投诉受理与时效管理：禁止事项（见英文原文）。</w:t>
            </w:r>
          </w:p>
        </w:tc>
      </w:tr>
      <w:tr>
        <w:tc>
          <w:tcPr>
            <w:tcW w:type="dxa" w:w="2160"/>
          </w:tcPr>
          <w:p>
            <w:r>
              <w:t>C5</w:t>
            </w:r>
          </w:p>
        </w:tc>
        <w:tc>
          <w:tcPr>
            <w:tcW w:type="dxa" w:w="2160"/>
          </w:tcPr>
          <w:p>
            <w:r>
              <w:t>"VASPs shall keep a record of— a. all complaints received from their clients; b."</w:t>
            </w:r>
          </w:p>
        </w:tc>
        <w:tc>
          <w:tcPr>
            <w:tcW w:type="dxa" w:w="2160"/>
          </w:tcPr>
          <w:p>
            <w:r>
              <w:t>Market Conduct / Part III.A.5 / Rule III.A.5 / p8</w:t>
            </w:r>
          </w:p>
        </w:tc>
        <w:tc>
          <w:tcPr>
            <w:tcW w:type="dxa" w:w="2160"/>
          </w:tcPr>
          <w:p>
            <w:r>
              <w:t>投诉受理与时效管理：控制要求（见英文原文）。</w:t>
            </w:r>
          </w:p>
        </w:tc>
      </w:tr>
      <w:tr>
        <w:tc>
          <w:tcPr>
            <w:tcW w:type="dxa" w:w="2160"/>
          </w:tcPr>
          <w:p>
            <w:r>
              <w:t>C6</w:t>
            </w:r>
          </w:p>
        </w:tc>
        <w:tc>
          <w:tcPr>
            <w:tcW w:type="dxa" w:w="2160"/>
          </w:tcPr>
          <w:p>
            <w:r>
              <w:t>"VASPs shall establish and maintain effective procedures for the prompt, fair and consistent handling of complaints received from their clients in accordance with Rule III.A of this Market Conduct Rulebook. Such procedures shall be disclosed on their website..."</w:t>
            </w:r>
          </w:p>
        </w:tc>
        <w:tc>
          <w:tcPr>
            <w:tcW w:type="dxa" w:w="2160"/>
          </w:tcPr>
          <w:p>
            <w:r>
              <w:t>Market Conduct / Part III.B.1 / Rule III.B.1 / p9</w:t>
            </w:r>
          </w:p>
        </w:tc>
        <w:tc>
          <w:tcPr>
            <w:tcW w:type="dxa" w:w="2160"/>
          </w:tcPr>
          <w:p>
            <w:r>
              <w:t>投诉受理与时效管理：控制要求（见英文原文）。</w:t>
            </w:r>
          </w:p>
        </w:tc>
      </w:tr>
      <w:tr>
        <w:tc>
          <w:tcPr>
            <w:tcW w:type="dxa" w:w="2160"/>
          </w:tcPr>
          <w:p>
            <w:r>
              <w:t>C7</w:t>
            </w:r>
          </w:p>
        </w:tc>
        <w:tc>
          <w:tcPr>
            <w:tcW w:type="dxa" w:w="2160"/>
          </w:tcPr>
          <w:p>
            <w:r>
              <w:t>"When establishing and maintain ing such procedures, VASP s must take reasonable steps to ensure that in handling complaints they identify and remedy any recurring or systemic problems, including but not limited to— a. analysing the causes of complaints so as..."</w:t>
            </w:r>
          </w:p>
        </w:tc>
        <w:tc>
          <w:tcPr>
            <w:tcW w:type="dxa" w:w="2160"/>
          </w:tcPr>
          <w:p>
            <w:r>
              <w:t>Market Conduct / Part III.B.3 / Rule III.B.3 / p9</w:t>
            </w:r>
          </w:p>
        </w:tc>
        <w:tc>
          <w:tcPr>
            <w:tcW w:type="dxa" w:w="2160"/>
          </w:tcPr>
          <w:p>
            <w:r>
              <w:t>投诉受理与时效管理：控制要求（见英文原文）。</w:t>
            </w:r>
          </w:p>
        </w:tc>
      </w:tr>
      <w:tr>
        <w:tc>
          <w:tcPr>
            <w:tcW w:type="dxa" w:w="2160"/>
          </w:tcPr>
          <w:p>
            <w:r>
              <w:t>C8</w:t>
            </w:r>
          </w:p>
        </w:tc>
        <w:tc>
          <w:tcPr>
            <w:tcW w:type="dxa" w:w="2160"/>
          </w:tcPr>
          <w:p>
            <w:r>
              <w:t>"ensure that client complaints are handled properly with appropriate remedial action. Complaints should be handled and investigated by Staff who are not directly involved in the subject matter of the complaint; and"</w:t>
            </w:r>
          </w:p>
        </w:tc>
        <w:tc>
          <w:tcPr>
            <w:tcW w:type="dxa" w:w="2160"/>
          </w:tcPr>
          <w:p>
            <w:r>
              <w:t>Compliance &amp; Risk / Part I.B.3(b) / Rule I.B.3(b) / p8</w:t>
            </w:r>
          </w:p>
        </w:tc>
        <w:tc>
          <w:tcPr>
            <w:tcW w:type="dxa" w:w="2160"/>
          </w:tcPr>
          <w:p>
            <w:r>
              <w:t>投诉受理与时效管理：控制要求（见英文原文）。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投诉受理与时效管理：相关活动必须形成可审计记录。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投诉受理与时效管理：相关证据与记录至少保留八(8)年。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投诉受理与时效管理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投诉受理与时效管理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投诉受理与时效管理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投诉受理与时效管理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投诉受理与时效管理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F-AUD-046-001 — 投诉受理与时效管理 主流程</w:t>
      </w:r>
    </w:p>
    <w:p>
      <w:r>
        <w:t>requirement_refs: C1/C2/C3/C4</w:t>
      </w:r>
    </w:p>
    <w:p>
      <w:r>
        <w:t>ASCII 流程图：</w:t>
      </w:r>
    </w:p>
    <w:p>
      <w:r>
        <w:t>[Start] -&gt; [Policy Approved] -&gt; [Execute 投诉受理与时效管理]</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F-AUD-046-002 — 投诉受理与时效管理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F-AUD-046-003 — 投诉受理与时效管理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投诉受理与时效管理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投诉受理与时效管理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投诉受理与时效管理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投诉受理与时效管理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投诉受理与时效管理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1 week, 4 weeks）</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1 week, 4 weeks）</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1 week, 4 weeks）</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1 week, 4 weeks）</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投诉受理与时效管理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投诉受理与时效管理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