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CAP-048_Audit_Compliance_Guide_v2</w:t>
      </w:r>
    </w:p>
    <w:p>
      <w:pPr>
        <w:jc w:val="center"/>
      </w:pPr>
      <w:r>
        <w:rPr>
          <w:sz w:val="22"/>
        </w:rPr>
        <w:t>VA 信息披露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CAP-048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Market Conduct Part V/VIII; Broker-Dealer Part I.B;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CAP-048（VA 信息披露）在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publish the Licence number issued to them by VARA."</w:t>
            </w:r>
          </w:p>
        </w:tc>
        <w:tc>
          <w:tcPr>
            <w:tcW w:type="dxa" w:w="2160"/>
          </w:tcPr>
          <w:p>
            <w:r>
              <w:t>Market Conduct / Part V.A.1 / Rule V.A.1 / p13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"VASPs shall publish all VA Activities they are Licensed by VARA to carry out in the Emirate"</w:t>
            </w:r>
          </w:p>
        </w:tc>
        <w:tc>
          <w:tcPr>
            <w:tcW w:type="dxa" w:w="2160"/>
          </w:tcPr>
          <w:p>
            <w:r>
              <w:t>Market Conduct / Part V.A.2 / Rule V.A.2 / p13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"VASPs shall publish a detailed description of all material risks associated with Virtual Assets,"</w:t>
            </w:r>
          </w:p>
        </w:tc>
        <w:tc>
          <w:tcPr>
            <w:tcW w:type="dxa" w:w="2160"/>
          </w:tcPr>
          <w:p>
            <w:r>
              <w:t>Market Conduct / Part V.B.1 / Rule V.B.1 / p13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"a summary containing the following information pertaining to each Virtual Asset offered"</w:t>
            </w:r>
          </w:p>
        </w:tc>
        <w:tc>
          <w:tcPr>
            <w:tcW w:type="dxa" w:w="2160"/>
          </w:tcPr>
          <w:p>
            <w:r>
              <w:t>Broker-Dealer / Part I.B.1(c) / Rule I.B.1(c) / p4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"a description of how the VASP determines the prices of the Virtual Assets it quotes to"</w:t>
            </w:r>
          </w:p>
        </w:tc>
        <w:tc>
          <w:tcPr>
            <w:tcW w:type="dxa" w:w="2160"/>
          </w:tcPr>
          <w:p>
            <w:r>
              <w:t>Broker-Dealer / Part I.B.1(d) / Rule I.B.1(d) / p5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"a description of the VASP's routing practices, including if twenty percent (20%) or more"</w:t>
            </w:r>
          </w:p>
        </w:tc>
        <w:tc>
          <w:tcPr>
            <w:tcW w:type="dxa" w:w="2160"/>
          </w:tcPr>
          <w:p>
            <w:r>
              <w:t>Broker-Dealer / Part I.B.1(e) / Rule I.B.1(e) / p5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"VASPs shall disclose their VA Standards on their website."</w:t>
            </w:r>
          </w:p>
        </w:tc>
        <w:tc>
          <w:tcPr>
            <w:tcW w:type="dxa" w:w="2160"/>
          </w:tcPr>
          <w:p>
            <w:r>
              <w:t>Market Conduct / Part VIII.A.3 / Rule VIII.A.3 / p18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"VASPs must maintain all records relevant to such assessments for eight (8) years and provide"</w:t>
            </w:r>
          </w:p>
        </w:tc>
        <w:tc>
          <w:tcPr>
            <w:tcW w:type="dxa" w:w="2160"/>
          </w:tcPr>
          <w:p>
            <w:r>
              <w:t>Market Conduct / Part VIII.B.2 / Rule VIII.B.2 / p19</w:t>
            </w:r>
          </w:p>
        </w:tc>
        <w:tc>
          <w:tcPr>
            <w:tcW w:type="dxa" w:w="2160"/>
          </w:tcPr>
          <w:p>
            <w:r>
              <w:t>VA 信息披露：控制要求（见英文原文）。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"VASPs shall keep their books and records properly in their original form or native file format"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VA 信息披露：相关活动必须形成可审计记录。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"VASPs shall retain each such record as set out in Rule I."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VA 信息披露：相关证据与记录至少保留八(8)年。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VA 信息披露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VA 信息披露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VA 信息披露 异常识别与升级处置</w:t>
            </w:r>
          </w:p>
        </w:tc>
        <w:tc>
          <w:tcPr>
            <w:tcW w:type="dxa" w:w="1440"/>
          </w:tcPr>
          <w:p>
            <w:r>
              <w:t>按 C5/C6 进行异常分级、升级与处置</w:t>
            </w:r>
          </w:p>
        </w:tc>
        <w:tc>
          <w:tcPr>
            <w:tcW w:type="dxa" w:w="1440"/>
          </w:tcPr>
          <w:p>
            <w:r>
              <w:t>异常闭环、责任清晰、时效达标</w:t>
            </w:r>
          </w:p>
        </w:tc>
        <w:tc>
          <w:tcPr>
            <w:tcW w:type="dxa" w:w="1440"/>
          </w:tcPr>
          <w:p>
            <w:r>
              <w:t>触发升级、限制相关活动并通知</w:t>
            </w:r>
          </w:p>
        </w:tc>
        <w:tc>
          <w:tcPr>
            <w:tcW w:type="dxa" w:w="1440"/>
          </w:tcPr>
          <w:p>
            <w:r>
              <w:t>异常单/升级单/处置结论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VA 信息披露 监控与复核</w:t>
            </w:r>
          </w:p>
        </w:tc>
        <w:tc>
          <w:tcPr>
            <w:tcW w:type="dxa" w:w="1440"/>
          </w:tcPr>
          <w:p>
            <w:r>
              <w:t>按 C7 进行日常监控与周期复核</w:t>
            </w:r>
          </w:p>
        </w:tc>
        <w:tc>
          <w:tcPr>
            <w:tcW w:type="dxa" w:w="1440"/>
          </w:tcPr>
          <w:p>
            <w:r>
              <w:t>监控覆盖完整、复核结论可追溯</w:t>
            </w:r>
          </w:p>
        </w:tc>
        <w:tc>
          <w:tcPr>
            <w:tcW w:type="dxa" w:w="1440"/>
          </w:tcPr>
          <w:p>
            <w:r>
              <w:t>补充监控控制并跟踪整改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VA 信息披露 通知/对账/报送（如适用）</w:t>
            </w:r>
          </w:p>
        </w:tc>
        <w:tc>
          <w:tcPr>
            <w:tcW w:type="dxa" w:w="1440"/>
          </w:tcPr>
          <w:p>
            <w:r>
              <w:t>按 C8 完成通知、对账或报送义务</w:t>
            </w:r>
          </w:p>
        </w:tc>
        <w:tc>
          <w:tcPr>
            <w:tcW w:type="dxa" w:w="1440"/>
          </w:tcPr>
          <w:p>
            <w:r>
              <w:t>时效满足条款要求且留痕</w:t>
            </w:r>
          </w:p>
        </w:tc>
        <w:tc>
          <w:tcPr>
            <w:tcW w:type="dxa" w:w="1440"/>
          </w:tcPr>
          <w:p>
            <w:r>
              <w:t>触发纠偏与管理层升级</w:t>
            </w:r>
          </w:p>
        </w:tc>
        <w:tc>
          <w:tcPr>
            <w:tcW w:type="dxa" w:w="1440"/>
          </w:tcPr>
          <w:p>
            <w:r>
              <w:t>通知回执/报送记录/对账单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归档与抽检导出</w:t>
            </w:r>
          </w:p>
        </w:tc>
        <w:tc>
          <w:tcPr>
            <w:tcW w:type="dxa" w:w="1440"/>
          </w:tcPr>
          <w:p>
            <w:r>
              <w:t>按 C9/C10 形成审计轨迹并满足留存要求</w:t>
            </w:r>
          </w:p>
        </w:tc>
        <w:tc>
          <w:tcPr>
            <w:tcW w:type="dxa" w:w="1440"/>
          </w:tcPr>
          <w:p>
            <w:r>
              <w:t>可按监管抽检快速导出证据包</w:t>
            </w:r>
          </w:p>
        </w:tc>
        <w:tc>
          <w:tcPr>
            <w:tcW w:type="dxa" w:w="1440"/>
          </w:tcPr>
          <w:p>
            <w:r>
              <w:t>补录缺失证据并登记偏差</w:t>
            </w:r>
          </w:p>
        </w:tc>
        <w:tc>
          <w:tcPr>
            <w:tcW w:type="dxa" w:w="1440"/>
          </w:tcPr>
          <w:p>
            <w:r>
              <w:t>证据包/导出日志/留存标签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F-AUD-048-001 — VA 信息披露 主流程</w:t>
      </w:r>
    </w:p>
    <w:p>
      <w:r>
        <w:t>requirement_refs: C1/C2/C3/C4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[Policy Approved] -&gt; [Execute VA 信息披露]</w:t>
        <w:br/>
        <w:t xml:space="preserve"> -&gt; [Check + Record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B[Policy Approved]</w:t>
        <w:br/>
        <w:t>B --&gt; C[Execute VA 信息披露]</w:t>
        <w:br/>
        <w:t>C --&gt; D[Check and Record Evidence]</w:t>
        <w:br/>
        <w:t>D --&gt; E[End]</w:t>
        <w:br/>
        <w:t>```</w:t>
      </w:r>
    </w:p>
    <w:p>
      <w:r>
        <w:rPr>
          <w:b/>
        </w:rPr>
        <w:t>F-AUD-048-002 — VA 信息披露 异常/升级处置流程</w:t>
      </w:r>
    </w:p>
    <w:p>
      <w:r>
        <w:t>requirement_refs: C5/C6/C8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A[Trigger Exception] --&gt; B[Escalate]</w:t>
        <w:br/>
        <w:t>B --&gt; C{Approve}</w:t>
        <w:br/>
        <w:t>C --&gt;|Yes| D[Mitigate and Proceed]</w:t>
        <w:br/>
        <w:t>C --&gt;|No| E[Block and Notify]</w:t>
        <w:br/>
        <w:t>D --&gt; F[Close Case]</w:t>
        <w:br/>
        <w:t>E --&gt; F</w:t>
        <w:br/>
        <w:t>```</w:t>
      </w:r>
    </w:p>
    <w:p>
      <w:r>
        <w:rPr>
          <w:b/>
        </w:rPr>
        <w:t>F-AUD-048-003 — VA 信息披露 证据归档与抽检响应流程</w:t>
      </w:r>
    </w:p>
    <w:p>
      <w:r>
        <w:t>requirement_refs: C7/C9/C10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Request}</w:t>
        <w:br/>
        <w:t>D --&gt;|Yes| E[Export Evidence Pack]</w:t>
        <w:br/>
        <w:t>D --&gt;|No| F[Archive]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VA 信息披露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 信息披露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VA 信息披露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 信息披露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 信息披露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VA 信息披露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VA 信息披露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