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CAP-051_Audit_Compliance_Guide_v2</w:t>
      </w:r>
    </w:p>
    <w:p>
      <w:pPr>
        <w:jc w:val="center"/>
      </w:pPr>
      <w:r>
        <w:rPr>
          <w:sz w:val="22"/>
        </w:rPr>
        <w:t>企业级风险管理框架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CAP-051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Compliance &amp; Risk Part I.D/I.F; Company Part VI.F; Technology &amp; Information Part I.A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DiagramPolicy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image_allowed=false; ascii_required=true; mermaid_required=true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CAP-051（企业级风险管理框架）在 VARA 监管口径下的流程、职责与证据要求。</w:t>
      </w:r>
    </w:p>
    <w:p>
      <w:pPr>
        <w:pStyle w:val="ListBullet"/>
      </w:pPr>
      <w:r>
        <w:t>范围涵盖核心控制、关键时效/频率要求及关键证据留存。</w:t>
      </w:r>
    </w:p>
    <w:p>
      <w:pPr>
        <w:pStyle w:val="ListBullet"/>
      </w:pPr>
      <w:r>
        <w:t>本文件用于监管提交与审阅，不构成系统实施承诺。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"VASPs shall establish and maintain— a. an effective risk management function; b. policies and procedures; and c. risk measurement and reporting methodologies, each commensurate with the nature, size, complexity, an"</w:t>
            </w:r>
          </w:p>
        </w:tc>
        <w:tc>
          <w:tcPr>
            <w:tcW w:type="dxa" w:w="2160"/>
          </w:tcPr>
          <w:p>
            <w:r>
              <w:t>Compliance &amp; Risk / Part I.D.1 / Rule I.D.1 / p9</w:t>
            </w:r>
          </w:p>
        </w:tc>
        <w:tc>
          <w:tcPr>
            <w:tcW w:type="dxa" w:w="2160"/>
          </w:tcPr>
          <w:p>
            <w:r>
              <w:t>企业级风险管理框架：控制要求（见英文原文）。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"The Board shall ensure that the risk management policies are subject to ongoing comprehensive"</w:t>
            </w:r>
          </w:p>
        </w:tc>
        <w:tc>
          <w:tcPr>
            <w:tcW w:type="dxa" w:w="2160"/>
          </w:tcPr>
          <w:p>
            <w:r>
              <w:t>Compliance &amp; Risk / Part I.D.3 / Rule I.D.3 / p10</w:t>
            </w:r>
          </w:p>
        </w:tc>
        <w:tc>
          <w:tcPr>
            <w:tcW w:type="dxa" w:w="2160"/>
          </w:tcPr>
          <w:p>
            <w:r>
              <w:t>企业级风险管理框架：控制要求（见英文原文）。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"The head of the risk function of a VASP shall submit risk exposure reports to the Board which"</w:t>
            </w:r>
          </w:p>
        </w:tc>
        <w:tc>
          <w:tcPr>
            <w:tcW w:type="dxa" w:w="2160"/>
          </w:tcPr>
          <w:p>
            <w:r>
              <w:t>Compliance &amp; Risk / Part I.D.4 / Rule I.D.4 / p10</w:t>
            </w:r>
          </w:p>
        </w:tc>
        <w:tc>
          <w:tcPr>
            <w:tcW w:type="dxa" w:w="2160"/>
          </w:tcPr>
          <w:p>
            <w:r>
              <w:t>企业级风险管理框架：控制要求（见英文原文）。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"The effectiveness of the risk management policy of each VASP will depend on the types of risks"</w:t>
            </w:r>
          </w:p>
        </w:tc>
        <w:tc>
          <w:tcPr>
            <w:tcW w:type="dxa" w:w="2160"/>
          </w:tcPr>
          <w:p>
            <w:r>
              <w:t>Compliance &amp; Risk / Part I.D.5 / Rule I.D.5 / p10</w:t>
            </w:r>
          </w:p>
        </w:tc>
        <w:tc>
          <w:tcPr>
            <w:tcW w:type="dxa" w:w="2160"/>
          </w:tcPr>
          <w:p>
            <w:r>
              <w:t>企业级风险管理框架：控制要求（见英文原文）。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"Financial soundness: Risk s arising when a VASP lacks the necessary capital ,"</w:t>
            </w:r>
          </w:p>
        </w:tc>
        <w:tc>
          <w:tcPr>
            <w:tcW w:type="dxa" w:w="2160"/>
          </w:tcPr>
          <w:p>
            <w:r>
              <w:t>Compliance &amp; Risk / Part I.D.5(a)(i) / Rule I.D.5(a)(i) / p10</w:t>
            </w:r>
          </w:p>
        </w:tc>
        <w:tc>
          <w:tcPr>
            <w:tcW w:type="dxa" w:w="2160"/>
          </w:tcPr>
          <w:p>
            <w:r>
              <w:t>企业级风险管理框架：控制要求（见英文原文）。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"AML/CFT, market abuse &amp; fraud: Risks arising from the VASP's susceptibility"</w:t>
            </w:r>
          </w:p>
        </w:tc>
        <w:tc>
          <w:tcPr>
            <w:tcW w:type="dxa" w:w="2160"/>
          </w:tcPr>
          <w:p>
            <w:r>
              <w:t>Compliance &amp; Risk / Part I.D.5(c)(i) / Rule I.D.5(c)(i) / p14</w:t>
            </w:r>
          </w:p>
        </w:tc>
        <w:tc>
          <w:tcPr>
            <w:tcW w:type="dxa" w:w="2160"/>
          </w:tcPr>
          <w:p>
            <w:r>
              <w:t>企业级风险管理框架：控制要求（见英文原文）。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"Net Liquid Assets shall be reconciled on a daily basis and reported to VARA monthly."</w:t>
            </w:r>
          </w:p>
        </w:tc>
        <w:tc>
          <w:tcPr>
            <w:tcW w:type="dxa" w:w="2160"/>
          </w:tcPr>
          <w:p>
            <w:r>
              <w:t>Company / Part VI.F.3 / Rule VI.F.3 / p46</w:t>
            </w:r>
          </w:p>
        </w:tc>
        <w:tc>
          <w:tcPr>
            <w:tcW w:type="dxa" w:w="2160"/>
          </w:tcPr>
          <w:p>
            <w:r>
              <w:t>企业级风险管理框架：控制要求（见英文原文）。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"VASPs must monitor, assess and maintain the effectiveness of their Technology Governance and"</w:t>
            </w:r>
          </w:p>
        </w:tc>
        <w:tc>
          <w:tcPr>
            <w:tcW w:type="dxa" w:w="2160"/>
          </w:tcPr>
          <w:p>
            <w:r>
              <w:t>Technology &amp; Information / Part I.A.5 / Rule I.A.5 / p6</w:t>
            </w:r>
          </w:p>
        </w:tc>
        <w:tc>
          <w:tcPr>
            <w:tcW w:type="dxa" w:w="2160"/>
          </w:tcPr>
          <w:p>
            <w:r>
              <w:t>企业级风险管理框架：控制要求（见英文原文）。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"VASPs shall keep their books and records properly in their original form or native file format"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企业级风险管理框架：相关活动必须形成可审计记录。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"VASPs shall retain each such record as set out in Rule I."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企业级风险管理框架：相关证据与记录至少保留八(8)年。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企业级风险管理框架 治理/政策与准入</w:t>
            </w:r>
          </w:p>
        </w:tc>
        <w:tc>
          <w:tcPr>
            <w:tcW w:type="dxa" w:w="1440"/>
          </w:tcPr>
          <w:p>
            <w:r>
              <w:t>按 C1/C2 定义范围与最低控制要求</w:t>
            </w:r>
          </w:p>
        </w:tc>
        <w:tc>
          <w:tcPr>
            <w:tcW w:type="dxa" w:w="1440"/>
          </w:tcPr>
          <w:p>
            <w:r>
              <w:t>政策/流程版本可追溯且经批准</w:t>
            </w:r>
          </w:p>
        </w:tc>
        <w:tc>
          <w:tcPr>
            <w:tcW w:type="dxa" w:w="1440"/>
          </w:tcPr>
          <w:p>
            <w:r>
              <w:t>暂停发布/升级合规复核</w:t>
            </w:r>
          </w:p>
        </w:tc>
        <w:tc>
          <w:tcPr>
            <w:tcW w:type="dxa" w:w="1440"/>
          </w:tcPr>
          <w:p>
            <w:r>
              <w:t>政策版本+批准记录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企业级风险管理框架 核心执行控制</w:t>
            </w:r>
          </w:p>
        </w:tc>
        <w:tc>
          <w:tcPr>
            <w:tcW w:type="dxa" w:w="1440"/>
          </w:tcPr>
          <w:p>
            <w:r>
              <w:t>按 C3/C4 执行关键控制并形成记录</w:t>
            </w:r>
          </w:p>
        </w:tc>
        <w:tc>
          <w:tcPr>
            <w:tcW w:type="dxa" w:w="1440"/>
          </w:tcPr>
          <w:p>
            <w:r>
              <w:t>执行记录完整且可回放</w:t>
            </w:r>
          </w:p>
        </w:tc>
        <w:tc>
          <w:tcPr>
            <w:tcW w:type="dxa" w:w="1440"/>
          </w:tcPr>
          <w:p>
            <w:r>
              <w:t>阻断/退回/纠偏并留痕</w:t>
            </w:r>
          </w:p>
        </w:tc>
        <w:tc>
          <w:tcPr>
            <w:tcW w:type="dxa" w:w="1440"/>
          </w:tcPr>
          <w:p>
            <w:r>
              <w:t>执行记录/审批记录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企业级风险管理框架 异常识别与升级处置</w:t>
            </w:r>
          </w:p>
        </w:tc>
        <w:tc>
          <w:tcPr>
            <w:tcW w:type="dxa" w:w="1440"/>
          </w:tcPr>
          <w:p>
            <w:r>
              <w:t>按 C5/C6 进行异常分级、升级与处置</w:t>
            </w:r>
          </w:p>
        </w:tc>
        <w:tc>
          <w:tcPr>
            <w:tcW w:type="dxa" w:w="1440"/>
          </w:tcPr>
          <w:p>
            <w:r>
              <w:t>异常闭环、责任清晰、时效达标</w:t>
            </w:r>
          </w:p>
        </w:tc>
        <w:tc>
          <w:tcPr>
            <w:tcW w:type="dxa" w:w="1440"/>
          </w:tcPr>
          <w:p>
            <w:r>
              <w:t>触发升级、限制相关活动并通知</w:t>
            </w:r>
          </w:p>
        </w:tc>
        <w:tc>
          <w:tcPr>
            <w:tcW w:type="dxa" w:w="1440"/>
          </w:tcPr>
          <w:p>
            <w:r>
              <w:t>异常单/升级单/处置结论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企业级风险管理框架 监控与复核</w:t>
            </w:r>
          </w:p>
        </w:tc>
        <w:tc>
          <w:tcPr>
            <w:tcW w:type="dxa" w:w="1440"/>
          </w:tcPr>
          <w:p>
            <w:r>
              <w:t>按 C7 进行日常监控与周期复核</w:t>
            </w:r>
          </w:p>
        </w:tc>
        <w:tc>
          <w:tcPr>
            <w:tcW w:type="dxa" w:w="1440"/>
          </w:tcPr>
          <w:p>
            <w:r>
              <w:t>监控覆盖完整、复核结论可追溯</w:t>
            </w:r>
          </w:p>
        </w:tc>
        <w:tc>
          <w:tcPr>
            <w:tcW w:type="dxa" w:w="1440"/>
          </w:tcPr>
          <w:p>
            <w:r>
              <w:t>补充监控控制并跟踪整改</w:t>
            </w:r>
          </w:p>
        </w:tc>
        <w:tc>
          <w:tcPr>
            <w:tcW w:type="dxa" w:w="1440"/>
          </w:tcPr>
          <w:p>
            <w:r>
              <w:t>监控报表/复核报告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企业级风险管理框架 通知/对账/报送（如适用）</w:t>
            </w:r>
          </w:p>
        </w:tc>
        <w:tc>
          <w:tcPr>
            <w:tcW w:type="dxa" w:w="1440"/>
          </w:tcPr>
          <w:p>
            <w:r>
              <w:t>按 C8 完成通知、对账或报送义务</w:t>
            </w:r>
          </w:p>
        </w:tc>
        <w:tc>
          <w:tcPr>
            <w:tcW w:type="dxa" w:w="1440"/>
          </w:tcPr>
          <w:p>
            <w:r>
              <w:t>时效满足条款要求且留痕</w:t>
            </w:r>
          </w:p>
        </w:tc>
        <w:tc>
          <w:tcPr>
            <w:tcW w:type="dxa" w:w="1440"/>
          </w:tcPr>
          <w:p>
            <w:r>
              <w:t>触发纠偏与管理层升级</w:t>
            </w:r>
          </w:p>
        </w:tc>
        <w:tc>
          <w:tcPr>
            <w:tcW w:type="dxa" w:w="1440"/>
          </w:tcPr>
          <w:p>
            <w:r>
              <w:t>通知回执/报送记录/对账单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归档与抽检导出</w:t>
            </w:r>
          </w:p>
        </w:tc>
        <w:tc>
          <w:tcPr>
            <w:tcW w:type="dxa" w:w="1440"/>
          </w:tcPr>
          <w:p>
            <w:r>
              <w:t>按 C9/C10 形成审计轨迹并满足留存要求</w:t>
            </w:r>
          </w:p>
        </w:tc>
        <w:tc>
          <w:tcPr>
            <w:tcW w:type="dxa" w:w="1440"/>
          </w:tcPr>
          <w:p>
            <w:r>
              <w:t>可按监管抽检快速导出证据包</w:t>
            </w:r>
          </w:p>
        </w:tc>
        <w:tc>
          <w:tcPr>
            <w:tcW w:type="dxa" w:w="1440"/>
          </w:tcPr>
          <w:p>
            <w:r>
              <w:t>补录缺失证据并登记偏差</w:t>
            </w:r>
          </w:p>
        </w:tc>
        <w:tc>
          <w:tcPr>
            <w:tcW w:type="dxa" w:w="1440"/>
          </w:tcPr>
          <w:p>
            <w:r>
              <w:t>证据包/导出日志/留存标签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F-AUD-051-001 — 企业级风险管理框架 主流程</w:t>
      </w:r>
    </w:p>
    <w:p>
      <w:r>
        <w:t>requirement_refs: C1/C2/C3/C4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[Start] -&gt; [Policy Approved] -&gt; [Execute 企业级风险管理框架]</w:t>
        <w:br/>
        <w:t xml:space="preserve"> -&gt; [Check + Record Evidence]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A[Start] --&gt; B[Policy Approved]</w:t>
        <w:br/>
        <w:t>B --&gt; C[Execute 企业级风险管理框架]</w:t>
        <w:br/>
        <w:t>C --&gt; D[Check and Record Evidence]</w:t>
        <w:br/>
        <w:t>D --&gt; E[End]</w:t>
        <w:br/>
        <w:t>```</w:t>
      </w:r>
    </w:p>
    <w:p>
      <w:r>
        <w:rPr>
          <w:b/>
        </w:rPr>
        <w:t>F-AUD-051-002 — 企业级风险管理框架 异常/升级处置流程</w:t>
      </w:r>
    </w:p>
    <w:p>
      <w:r>
        <w:t>requirement_refs: C5/C6/C8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[Trigger Exception] -&gt; [Escalate] -&gt; {Approve?}</w:t>
        <w:br/>
        <w:t xml:space="preserve">  Yes -&gt; [Mitigate and Proceed] -&gt; [Close Case]</w:t>
        <w:br/>
        <w:t xml:space="preserve">  No -&gt; [Block and Notify] -&gt; [Close Case]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A[Trigger Exception] --&gt; B[Escalate]</w:t>
        <w:br/>
        <w:t>B --&gt; C{Approve}</w:t>
        <w:br/>
        <w:t>C --&gt;|Yes| D[Mitigate and Proceed]</w:t>
        <w:br/>
        <w:t>C --&gt;|No| E[Block and Notify]</w:t>
        <w:br/>
        <w:t>D --&gt; F[Close Case]</w:t>
        <w:br/>
        <w:t>E --&gt; F</w:t>
        <w:br/>
        <w:t>```</w:t>
      </w:r>
    </w:p>
    <w:p>
      <w:r>
        <w:rPr>
          <w:b/>
        </w:rPr>
        <w:t>F-AUD-051-003 — 企业级风险管理框架 证据归档与抽检响应流程</w:t>
      </w:r>
    </w:p>
    <w:p>
      <w:r>
        <w:t>requirement_refs: C7/C9/C10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[Collect Evidence] -&gt; [Retention Tag] -&gt; [Periodic Review]</w:t>
        <w:br/>
        <w:t xml:space="preserve"> -&gt; {Regulator Request?}</w:t>
        <w:br/>
        <w:t xml:space="preserve">  Yes -&gt; [Export Evidence Pack]</w:t>
        <w:br/>
        <w:t xml:space="preserve">  No -&gt; [Archive]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A[Collect Evidence] --&gt; B[Retention Tag]</w:t>
        <w:br/>
        <w:t>B --&gt; C[Periodic Review]</w:t>
        <w:br/>
        <w:t>C --&gt; D{Regulator Request}</w:t>
        <w:br/>
        <w:t>D --&gt;|Yes| E[Export Evidence Pack]</w:t>
        <w:br/>
        <w:t>D --&gt;|No| F[Archive]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Client</w:t>
            </w:r>
          </w:p>
        </w:tc>
      </w:tr>
      <w:tr>
        <w:tc>
          <w:tcPr>
            <w:tcW w:type="dxa" w:w="1234"/>
          </w:tcPr>
          <w:p>
            <w:r>
              <w:t>企业级风险管理框架 政策与关键参数批准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企业级风险管理框架 核心控制执行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企业级风险管理框架 监控/对账/周期复核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企业级风险管理框架 关键门禁/系统强制控制（如适用）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企业级风险管理框架 异常/升级处置与通知（如适用）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政策/流程文件</w:t>
            </w:r>
          </w:p>
        </w:tc>
        <w:tc>
          <w:tcPr>
            <w:tcW w:type="dxa" w:w="1728"/>
          </w:tcPr>
          <w:p>
            <w:r>
              <w:t>适用范围、关键控制点、版本号、批准人/时间</w:t>
            </w:r>
          </w:p>
        </w:tc>
        <w:tc>
          <w:tcPr>
            <w:tcW w:type="dxa" w:w="1728"/>
          </w:tcPr>
          <w:p>
            <w:r>
              <w:t>发布/更新时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C1/C2/C10</w:t>
            </w:r>
          </w:p>
        </w:tc>
      </w:tr>
      <w:tr>
        <w:tc>
          <w:tcPr>
            <w:tcW w:type="dxa" w:w="1728"/>
          </w:tcPr>
          <w:p>
            <w:r>
              <w:t>核心执行记录</w:t>
            </w:r>
          </w:p>
        </w:tc>
        <w:tc>
          <w:tcPr>
            <w:tcW w:type="dxa" w:w="1728"/>
          </w:tcPr>
          <w:p>
            <w:r>
              <w:t>关键动作、输入输出、操作者、时间戳</w:t>
            </w:r>
          </w:p>
        </w:tc>
        <w:tc>
          <w:tcPr>
            <w:tcW w:type="dxa" w:w="1728"/>
          </w:tcPr>
          <w:p>
            <w:r>
              <w:t>执行时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C3/C4/C10</w:t>
            </w:r>
          </w:p>
        </w:tc>
      </w:tr>
      <w:tr>
        <w:tc>
          <w:tcPr>
            <w:tcW w:type="dxa" w:w="1728"/>
          </w:tcPr>
          <w:p>
            <w:r>
              <w:t>异常与升级处置记录</w:t>
            </w:r>
          </w:p>
        </w:tc>
        <w:tc>
          <w:tcPr>
            <w:tcW w:type="dxa" w:w="1728"/>
          </w:tcPr>
          <w:p>
            <w:r>
              <w:t>触发条件、升级链、处置结论、复核人</w:t>
            </w:r>
          </w:p>
        </w:tc>
        <w:tc>
          <w:tcPr>
            <w:tcW w:type="dxa" w:w="1728"/>
          </w:tcPr>
          <w:p>
            <w:r>
              <w:t>异常发生/关闭时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C5/C6/C10</w:t>
            </w:r>
          </w:p>
        </w:tc>
      </w:tr>
      <w:tr>
        <w:tc>
          <w:tcPr>
            <w:tcW w:type="dxa" w:w="1728"/>
          </w:tcPr>
          <w:p>
            <w:r>
              <w:t>监控/复核报告</w:t>
            </w:r>
          </w:p>
        </w:tc>
        <w:tc>
          <w:tcPr>
            <w:tcW w:type="dxa" w:w="1728"/>
          </w:tcPr>
          <w:p>
            <w:r>
              <w:t>监控指标、覆盖范围、差异项、整改结论</w:t>
            </w:r>
          </w:p>
        </w:tc>
        <w:tc>
          <w:tcPr>
            <w:tcW w:type="dxa" w:w="1728"/>
          </w:tcPr>
          <w:p>
            <w:r>
              <w:t>周期复核时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导出范围、导出人、导出时间、用途</w:t>
            </w:r>
          </w:p>
        </w:tc>
        <w:tc>
          <w:tcPr>
            <w:tcW w:type="dxa" w:w="1728"/>
          </w:tcPr>
          <w:p>
            <w:r>
              <w:t>抽检/请求时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核心控制执行</w:t>
            </w:r>
          </w:p>
        </w:tc>
        <w:tc>
          <w:tcPr>
            <w:tcW w:type="dxa" w:w="2160"/>
          </w:tcPr>
          <w:p>
            <w:r>
              <w:t>按适用条款要求及时执行并留痕</w:t>
            </w:r>
          </w:p>
        </w:tc>
        <w:tc>
          <w:tcPr>
            <w:tcW w:type="dxa" w:w="2160"/>
          </w:tcPr>
          <w:p>
            <w:r>
              <w:t>按事件/每日（按条款）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异常差异及时升级、纠偏并闭环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C5/C6</w:t>
            </w:r>
          </w:p>
        </w:tc>
      </w:tr>
      <w:tr>
        <w:tc>
          <w:tcPr>
            <w:tcW w:type="dxa" w:w="2160"/>
          </w:tcPr>
          <w:p>
            <w:r>
              <w:t>监控与复核</w:t>
            </w:r>
          </w:p>
        </w:tc>
        <w:tc>
          <w:tcPr>
            <w:tcW w:type="dxa" w:w="2160"/>
          </w:tcPr>
          <w:p>
            <w:r>
              <w:t>按条款要求开展监控/复核</w:t>
            </w:r>
          </w:p>
        </w:tc>
        <w:tc>
          <w:tcPr>
            <w:tcW w:type="dxa" w:w="2160"/>
          </w:tcPr>
          <w:p>
            <w:r>
              <w:t>按条款（可能每日/每月/至少年度）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  <w:tr>
        <w:tc>
          <w:tcPr>
            <w:tcW w:type="dxa" w:w="2160"/>
          </w:tcPr>
          <w:p>
            <w:r>
              <w:t>通知/对账/报送</w:t>
            </w:r>
          </w:p>
        </w:tc>
        <w:tc>
          <w:tcPr>
            <w:tcW w:type="dxa" w:w="2160"/>
          </w:tcPr>
          <w:p>
            <w:r>
              <w:t>需要时按条款时效完成通知/对账/报送</w:t>
            </w:r>
          </w:p>
        </w:tc>
        <w:tc>
          <w:tcPr>
            <w:tcW w:type="dxa" w:w="2160"/>
          </w:tcPr>
          <w:p>
            <w:r>
              <w:t>按触发/按周期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记录保留</w:t>
            </w:r>
          </w:p>
        </w:tc>
        <w:tc>
          <w:tcPr>
            <w:tcW w:type="dxa" w:w="2160"/>
          </w:tcPr>
          <w:p>
            <w:r>
              <w:t>不少于8年（如适用）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是否已定义并批准 企业级风险管理框架 的政策/流程并纳入版本管理？</w:t>
      </w:r>
    </w:p>
    <w:p>
      <w:r>
        <w:t>2. 是否核心控制执行覆盖适用条款并形成可追溯记录？</w:t>
      </w:r>
    </w:p>
    <w:p>
      <w:r>
        <w:t>3. 是否异常/升级处置有闭环并留存处置证据？</w:t>
      </w:r>
    </w:p>
    <w:p>
      <w:r>
        <w:t>4. 是否监控/复核频率满足条款要求（如每日/每月/至少年度）？</w:t>
      </w:r>
    </w:p>
    <w:p>
      <w:r>
        <w:t>5. 是否通知/对账/报送（如适用）满足监管时效并留痕？</w:t>
      </w:r>
    </w:p>
    <w:p>
      <w:r>
        <w:t>6. 是否可在监管抽检时导出完整证据包并满足留存要求（&gt;=8年或按条款）？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企业级风险管理框架 核心控制未按条款时效执行，形成持续合规缺口。</w:t>
      </w:r>
    </w:p>
    <w:p>
      <w:pPr>
        <w:pStyle w:val="ListBullet"/>
      </w:pPr>
      <w:r>
        <w:t>关键证据缺失或无法回放，导致控制不可审计。</w:t>
      </w:r>
    </w:p>
    <w:p>
      <w:pPr>
        <w:pStyle w:val="ListBullet"/>
      </w:pPr>
      <w:r>
        <w:t>职责分配不清或同人兼任关键审核环节，形成独立性缺陷。</w:t>
      </w:r>
    </w:p>
    <w:p>
      <w:pPr>
        <w:pStyle w:val="ListBullet"/>
      </w:pPr>
      <w:r>
        <w:t>异常/差异未闭环或未升级处置，风险长期暴露。</w:t>
      </w:r>
    </w:p>
    <w:p>
      <w:pPr>
        <w:pStyle w:val="ListBullet"/>
      </w:pPr>
      <w:r>
        <w:t>记录留存期限不满足要求（如 &gt;=8年 / &gt;=1年），无法满足监管抽检。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