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Times New Roman" w:cs="Times New Roman" w:eastAsia="Times New Roman" w:hAnsi="Times New Roman"/>
          <w:b/>
          <w:bCs/>
          <w:sz w:val="28"/>
          <w:szCs w:val="28"/>
        </w:rPr>
        <w:t xml:space="preserve">Institut de Formation d’Assurances et de Gestion</w:t>
      </w:r>
    </w:p>
    <w:p>
      <w:pPr>
        <w:spacing w:after="60" w:before="0"/>
        <w:jc w:val="center"/>
      </w:pPr>
      <w:r>
        <w:rPr>
          <w:rFonts w:ascii="Times New Roman" w:cs="Times New Roman" w:eastAsia="Times New Roman" w:hAnsi="Times New Roman"/>
          <w:sz w:val="22"/>
          <w:szCs w:val="22"/>
        </w:rPr>
        <w:t xml:space="preserve">Établissement Privé de Formation Supérieure</w:t>
      </w:r>
    </w:p>
    <w:p>
      <w:pPr>
        <w:spacing w:after="400" w:before="0"/>
        <w:jc w:val="center"/>
      </w:pPr>
      <w:r>
        <w:rPr>
          <w:rFonts w:ascii="Times New Roman" w:cs="Times New Roman" w:eastAsia="Times New Roman" w:hAnsi="Times New Roman"/>
          <w:sz w:val="20"/>
          <w:szCs w:val="20"/>
        </w:rPr>
        <w:t xml:space="preserve">Agréé par le Ministère de l’Enseignement Supérieur et de la Recherche Scientifique</w:t>
      </w:r>
    </w:p>
    <w:p>
      <w:pPr>
        <w:spacing w:after="80" w:before="0"/>
        <w:jc w:val="center"/>
      </w:pPr>
      <w:r>
        <w:rPr>
          <w:rFonts w:ascii="Times New Roman" w:cs="Times New Roman" w:eastAsia="Times New Roman" w:hAnsi="Times New Roman"/>
          <w:b/>
          <w:bCs/>
          <w:sz w:val="32"/>
          <w:szCs w:val="32"/>
        </w:rPr>
        <w:t xml:space="preserve">MÉMOIRE DE FIN D’ÉTUDES</w:t>
      </w:r>
    </w:p>
    <w:p>
      <w:pPr>
        <w:spacing w:after="80" w:before="0"/>
        <w:jc w:val="center"/>
      </w:pPr>
      <w:r>
        <w:rPr>
          <w:rFonts w:ascii="Times New Roman" w:cs="Times New Roman" w:eastAsia="Times New Roman" w:hAnsi="Times New Roman"/>
          <w:sz w:val="24"/>
          <w:szCs w:val="24"/>
        </w:rPr>
        <w:t xml:space="preserve">Pour l’obtention du diplôme de</w:t>
      </w:r>
    </w:p>
    <w:p>
      <w:pPr>
        <w:spacing w:after="80" w:before="0"/>
        <w:jc w:val="center"/>
      </w:pPr>
      <w:r>
        <w:rPr>
          <w:rFonts w:ascii="Times New Roman" w:cs="Times New Roman" w:eastAsia="Times New Roman" w:hAnsi="Times New Roman"/>
          <w:b/>
          <w:bCs/>
          <w:color w:val="8B6914"/>
          <w:sz w:val="48"/>
          <w:szCs w:val="48"/>
        </w:rPr>
        <w:t xml:space="preserve">LICENCE</w:t>
      </w:r>
    </w:p>
    <w:p>
      <w:pPr>
        <w:spacing w:after="60" w:before="0"/>
        <w:jc w:val="center"/>
      </w:pPr>
      <w:r>
        <w:rPr>
          <w:rFonts w:ascii="Times New Roman" w:cs="Times New Roman" w:eastAsia="Times New Roman" w:hAnsi="Times New Roman"/>
          <w:b/>
          <w:bCs/>
          <w:sz w:val="26"/>
          <w:szCs w:val="26"/>
        </w:rPr>
        <w:t xml:space="preserve">Filière : Informatique</w:t>
      </w:r>
    </w:p>
    <w:p>
      <w:pPr>
        <w:spacing w:after="400" w:before="0"/>
        <w:jc w:val="center"/>
      </w:pPr>
      <w:r>
        <w:rPr>
          <w:rFonts w:ascii="Times New Roman" w:cs="Times New Roman" w:eastAsia="Times New Roman" w:hAnsi="Times New Roman"/>
          <w:b/>
          <w:bCs/>
          <w:sz w:val="26"/>
          <w:szCs w:val="26"/>
        </w:rPr>
        <w:t xml:space="preserve">Spécialité : Métiers de l’Informatique</w:t>
      </w:r>
    </w:p>
    <w:p>
      <w:pPr>
        <w:spacing w:after="60" w:before="0"/>
        <w:jc w:val="center"/>
      </w:pPr>
      <w:r>
        <w:rPr>
          <w:rFonts w:ascii="Times New Roman" w:cs="Times New Roman" w:eastAsia="Times New Roman" w:hAnsi="Times New Roman"/>
          <w:b/>
          <w:bCs/>
          <w:color w:val="8B6914"/>
          <w:sz w:val="36"/>
          <w:szCs w:val="36"/>
        </w:rPr>
        <w:t xml:space="preserve">THÈME</w:t>
      </w:r>
    </w:p>
    <w:p>
      <w:pPr>
        <w:spacing w:after="40" w:before="0"/>
        <w:jc w:val="center"/>
      </w:pPr>
      <w:r>
        <w:rPr>
          <w:rFonts w:ascii="Times New Roman" w:cs="Times New Roman" w:eastAsia="Times New Roman" w:hAnsi="Times New Roman"/>
          <w:b/>
          <w:bCs/>
          <w:sz w:val="26"/>
          <w:szCs w:val="26"/>
        </w:rPr>
        <w:t xml:space="preserve">Smart Electric Vehicle Charging Station Management Platform</w:t>
      </w:r>
    </w:p>
    <w:p>
      <w:pPr>
        <w:spacing w:after="400" w:before="0"/>
        <w:jc w:val="center"/>
      </w:pPr>
      <w:r>
        <w:rPr>
          <w:rFonts w:ascii="Times New Roman" w:cs="Times New Roman" w:eastAsia="Times New Roman" w:hAnsi="Times New Roman"/>
          <w:b/>
          <w:bCs/>
          <w:sz w:val="26"/>
          <w:szCs w:val="26"/>
        </w:rPr>
        <w:t xml:space="preserve">“EV Charge Manager”</w:t>
      </w:r>
    </w:p>
    <w:tbl>
      <w:tblPr>
        <w:tblW w:type="dxa" w:w="9070"/>
        <w:tblBorders>
          <w:top w:val="none"/>
          <w:left w:val="none"/>
          <w:bottom w:val="none"/>
          <w:right w:val="none"/>
          <w:insideH w:val="single" w:color="auto" w:sz="4"/>
          <w:insideV w:val="single" w:color="auto" w:sz="4"/>
        </w:tblBorders>
      </w:tblPr>
      <w:tblGrid>
        <w:gridCol w:w="4535"/>
        <w:gridCol w:w="4535"/>
      </w:tblGrid>
      <w:tr>
        <w:tc>
          <w:tcPr>
            <w:tcBorders>
              <w:top w:val="none"/>
              <w:left w:val="none"/>
              <w:bottom w:val="none"/>
              <w:right w:val="none"/>
            </w:tcBorders>
          </w:tcPr>
          <w:p>
            <w:pPr>
              <w:spacing w:after="60"/>
            </w:pPr>
            <w:r>
              <w:rPr>
                <w:rFonts w:ascii="Times New Roman" w:cs="Times New Roman" w:eastAsia="Times New Roman" w:hAnsi="Times New Roman"/>
                <w:sz w:val="24"/>
                <w:szCs w:val="24"/>
              </w:rPr>
              <w:t xml:space="preserve">Réalisé par :</w:t>
            </w:r>
          </w:p>
          <w:p>
            <w:pPr>
              <w:spacing w:after="40"/>
            </w:pPr>
            <w:r>
              <w:rPr>
                <w:rFonts w:ascii="Times New Roman" w:cs="Times New Roman" w:eastAsia="Times New Roman" w:hAnsi="Times New Roman"/>
                <w:sz w:val="24"/>
                <w:szCs w:val="24"/>
              </w:rPr>
              <w:t xml:space="preserve">   ▪  Yacine FODHIL</w:t>
            </w:r>
          </w:p>
          <w:p>
            <w:pPr>
              <w:spacing w:after="0"/>
            </w:pPr>
            <w:r>
              <w:rPr>
                <w:rFonts w:ascii="Times New Roman" w:cs="Times New Roman" w:eastAsia="Times New Roman" w:hAnsi="Times New Roman"/>
                <w:sz w:val="24"/>
                <w:szCs w:val="24"/>
              </w:rPr>
              <w:t xml:space="preserve">   ▪  Abderrahmane CHIBANI</w:t>
            </w:r>
          </w:p>
        </w:tc>
        <w:tc>
          <w:tcPr>
            <w:tcBorders>
              <w:top w:val="none"/>
              <w:left w:val="none"/>
              <w:bottom w:val="none"/>
              <w:right w:val="none"/>
            </w:tcBorders>
          </w:tcPr>
          <w:p>
            <w:pPr>
              <w:spacing w:after="60"/>
            </w:pPr>
            <w:r>
              <w:rPr>
                <w:rFonts w:ascii="Times New Roman" w:cs="Times New Roman" w:eastAsia="Times New Roman" w:hAnsi="Times New Roman"/>
                <w:sz w:val="24"/>
                <w:szCs w:val="24"/>
              </w:rPr>
              <w:t xml:space="preserve">Encadré par :</w:t>
            </w:r>
          </w:p>
          <w:p>
            <w:pPr>
              <w:spacing w:after="40"/>
            </w:pPr>
            <w:r>
              <w:rPr>
                <w:rFonts w:ascii="Times New Roman" w:cs="Times New Roman" w:eastAsia="Times New Roman" w:hAnsi="Times New Roman"/>
                <w:sz w:val="24"/>
                <w:szCs w:val="24"/>
              </w:rPr>
              <w:t xml:space="preserve">   ▪  Mme Nadia BENAHMED-EL ALIA</w:t>
            </w:r>
          </w:p>
          <w:p>
            <w:pPr>
              <w:spacing w:after="0"/>
            </w:pPr>
            <w:r>
              <w:rPr>
                <w:rFonts w:ascii="Times New Roman" w:cs="Times New Roman" w:eastAsia="Times New Roman" w:hAnsi="Times New Roman"/>
                <w:sz w:val="24"/>
                <w:szCs w:val="24"/>
              </w:rPr>
              <w:t xml:space="preserve">   ▪  M. Amar BALLA</w:t>
            </w:r>
          </w:p>
        </w:tc>
      </w:tr>
    </w:tbl>
    <w:p>
      <w:pPr>
        <w:spacing w:after="0" w:before="400"/>
        <w:jc w:val="center"/>
      </w:pPr>
      <w:r>
        <w:rPr>
          <w:rFonts w:ascii="Times New Roman" w:cs="Times New Roman" w:eastAsia="Times New Roman" w:hAnsi="Times New Roman"/>
          <w:sz w:val="24"/>
          <w:szCs w:val="24"/>
        </w:rPr>
        <w:t xml:space="preserve">Année Universitaire 2025 – 2026</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Dédicace</w:t>
      </w:r>
    </w:p>
    <w:p>
      <w:pPr>
        <w:spacing w:after="120" w:before="0" w:line="360" w:lineRule="auto"/>
        <w:ind w:firstLine="720"/>
        <w:jc w:val="both"/>
      </w:pPr>
      <w:r>
        <w:rPr>
          <w:rFonts w:ascii="Times New Roman" w:cs="Times New Roman" w:eastAsia="Times New Roman" w:hAnsi="Times New Roman"/>
          <w:sz w:val="24"/>
          <w:szCs w:val="24"/>
        </w:rPr>
        <w:t xml:space="preserve">To our parents, who sacrificed so much and, at times, everything, so that we could reach this level. Your unwavering love, endless patience, and constant support were the foundation upon which we built our journey. You were our light in moments of doubt and our strength when the path felt difficult.</w:t>
      </w:r>
    </w:p>
    <w:p>
      <w:pPr>
        <w:spacing w:after="120" w:before="0" w:line="360" w:lineRule="auto"/>
        <w:ind w:firstLine="720"/>
        <w:jc w:val="both"/>
      </w:pPr>
      <w:r>
        <w:rPr>
          <w:rFonts w:ascii="Times New Roman" w:cs="Times New Roman" w:eastAsia="Times New Roman" w:hAnsi="Times New Roman"/>
          <w:sz w:val="24"/>
          <w:szCs w:val="24"/>
        </w:rPr>
        <w:t xml:space="preserve">To our brothers and sisters, whose daily presence, encouragement, and belief in us made every challenge feel lighter. Your words, smiles, and support were a quiet but powerful source of motivation.</w:t>
      </w:r>
    </w:p>
    <w:p>
      <w:pPr>
        <w:spacing w:after="120" w:before="0" w:line="360" w:lineRule="auto"/>
        <w:ind w:firstLine="720"/>
        <w:jc w:val="both"/>
      </w:pPr>
      <w:r>
        <w:rPr>
          <w:rFonts w:ascii="Times New Roman" w:cs="Times New Roman" w:eastAsia="Times New Roman" w:hAnsi="Times New Roman"/>
          <w:sz w:val="24"/>
          <w:szCs w:val="24"/>
        </w:rPr>
        <w:t xml:space="preserve">To ourselves, for our sincere collaboration, our discipline, and our commitment throughout this project. Through moments of pressure, late nights, and shared efforts, we proved that perseverance and teamwork lead to achievement.</w:t>
      </w:r>
    </w:p>
    <w:p>
      <w:pPr>
        <w:spacing w:after="120" w:before="0" w:line="360" w:lineRule="auto"/>
        <w:ind w:firstLine="720"/>
        <w:jc w:val="both"/>
      </w:pPr>
      <w:r>
        <w:rPr>
          <w:rFonts w:ascii="Times New Roman" w:cs="Times New Roman" w:eastAsia="Times New Roman" w:hAnsi="Times New Roman"/>
          <w:sz w:val="24"/>
          <w:szCs w:val="24"/>
        </w:rPr>
        <w:t xml:space="preserve">To all our friends and classmates, with whom we shared not only knowledge but also unforgettable moments, laughter, and challenges. This academic journey would not have been the same without you, and these memories will remain with us far beyond this project.</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Remerciements</w:t>
      </w:r>
    </w:p>
    <w:p>
      <w:pPr>
        <w:spacing w:after="120" w:before="0" w:line="360" w:lineRule="auto"/>
        <w:ind w:firstLine="720"/>
        <w:jc w:val="both"/>
      </w:pPr>
      <w:r>
        <w:rPr>
          <w:rFonts w:ascii="Times New Roman" w:cs="Times New Roman" w:eastAsia="Times New Roman" w:hAnsi="Times New Roman"/>
          <w:sz w:val="24"/>
          <w:szCs w:val="24"/>
        </w:rPr>
        <w:t xml:space="preserve">First and foremost, we thank Allah, the Almighty, for granting us the strength, patience, and perseverance to complete this work. Without His will, none of this would have been possible.</w:t>
      </w:r>
    </w:p>
    <w:p>
      <w:pPr>
        <w:spacing w:after="120" w:before="0" w:line="360" w:lineRule="auto"/>
        <w:ind w:firstLine="720"/>
        <w:jc w:val="both"/>
      </w:pPr>
      <w:r>
        <w:rPr>
          <w:rFonts w:ascii="Times New Roman" w:cs="Times New Roman" w:eastAsia="Times New Roman" w:hAnsi="Times New Roman"/>
          <w:sz w:val="24"/>
          <w:szCs w:val="24"/>
        </w:rPr>
        <w:t xml:space="preserve">We would also like to express our deepest gratitude to our parents and family for their sacrifices, unconditional support, constant encouragement, and unwavering belief in us throughout our journey. Their presence has been a true source of motivation and comfort.</w:t>
      </w:r>
    </w:p>
    <w:p>
      <w:pPr>
        <w:spacing w:after="120" w:before="0" w:line="360" w:lineRule="auto"/>
        <w:ind w:firstLine="720"/>
        <w:jc w:val="both"/>
      </w:pPr>
      <w:r>
        <w:rPr>
          <w:rFonts w:ascii="Times New Roman" w:cs="Times New Roman" w:eastAsia="Times New Roman" w:hAnsi="Times New Roman"/>
          <w:sz w:val="24"/>
          <w:szCs w:val="24"/>
        </w:rPr>
        <w:t xml:space="preserve">We extend our heartfelt appreciation to our supervisors :</w:t>
      </w:r>
    </w:p>
    <w:p>
      <w:pPr>
        <w:spacing w:after="120" w:before="0" w:line="360" w:lineRule="auto"/>
        <w:ind w:firstLine="720"/>
        <w:jc w:val="both"/>
      </w:pPr>
      <w:r>
        <w:rPr>
          <w:rFonts w:ascii="Times New Roman" w:cs="Times New Roman" w:eastAsia="Times New Roman" w:hAnsi="Times New Roman"/>
          <w:sz w:val="24"/>
          <w:szCs w:val="24"/>
        </w:rPr>
        <w:t xml:space="preserve">To Mr. Balla, who was more than a teacher to us—he was like a father. His wisdom, constant support, and sincere care guided us not only academically but also personally. He believed in us, encouraged us in difficult moments, and inspired us to always strive for better.</w:t>
      </w:r>
    </w:p>
    <w:p>
      <w:pPr>
        <w:spacing w:after="120" w:before="0" w:line="360" w:lineRule="auto"/>
        <w:ind w:firstLine="720"/>
        <w:jc w:val="both"/>
      </w:pPr>
      <w:r>
        <w:rPr>
          <w:rFonts w:ascii="Times New Roman" w:cs="Times New Roman" w:eastAsia="Times New Roman" w:hAnsi="Times New Roman"/>
          <w:sz w:val="24"/>
          <w:szCs w:val="24"/>
        </w:rPr>
        <w:t xml:space="preserve">To Mrs. BENAHMED-EL ALIA, who embodied the role of a caring and guiding mother. Her kindness, patience, and dedication created a supportive environment where we felt encouraged to grow, learn, and express ourselves with confidence.</w:t>
      </w:r>
    </w:p>
    <w:p>
      <w:pPr>
        <w:spacing w:after="120" w:before="0" w:line="360" w:lineRule="auto"/>
        <w:ind w:firstLine="720"/>
        <w:jc w:val="both"/>
      </w:pPr>
      <w:r>
        <w:rPr>
          <w:rFonts w:ascii="Times New Roman" w:cs="Times New Roman" w:eastAsia="Times New Roman" w:hAnsi="Times New Roman"/>
          <w:sz w:val="24"/>
          <w:szCs w:val="24"/>
        </w:rPr>
        <w:t xml:space="preserve">To Mr. Mokeddem, who provided us with a strong foundation in understanding development. His clarity, guidance, and generosity in sharing knowledge helped us build solid academic skills and a deeper way of thinking.</w:t>
      </w:r>
    </w:p>
    <w:p>
      <w:pPr>
        <w:spacing w:after="120" w:before="0" w:line="360" w:lineRule="auto"/>
        <w:ind w:firstLine="720"/>
        <w:jc w:val="both"/>
      </w:pPr>
      <w:r>
        <w:rPr>
          <w:rFonts w:ascii="Times New Roman" w:cs="Times New Roman" w:eastAsia="Times New Roman" w:hAnsi="Times New Roman"/>
          <w:sz w:val="24"/>
          <w:szCs w:val="24"/>
        </w:rPr>
        <w:t xml:space="preserve">We would also like to express our sincere thanks to Mr. Chagroune for his warm welcome at SAIEG, his honest guidance, and the valuable information he generously shared with us.</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Résumé</w:t>
      </w:r>
    </w:p>
    <w:p>
      <w:pPr>
        <w:pStyle w:val="Heading2"/>
        <w:spacing w:after="240" w:before="240" w:line="360" w:lineRule="auto"/>
      </w:pPr>
      <w:r>
        <w:rPr>
          <w:rFonts w:ascii="Times New Roman" w:cs="Times New Roman" w:eastAsia="Times New Roman" w:hAnsi="Times New Roman"/>
          <w:b/>
          <w:bCs/>
          <w:sz w:val="26"/>
          <w:szCs w:val="26"/>
        </w:rPr>
        <w:t xml:space="preserve">Résumé (Français)</w:t>
      </w:r>
    </w:p>
    <w:p>
      <w:pPr>
        <w:spacing w:after="120" w:before="0" w:line="360" w:lineRule="auto"/>
        <w:ind w:firstLine="720"/>
        <w:jc w:val="both"/>
      </w:pPr>
      <w:r>
        <w:rPr>
          <w:rFonts w:ascii="Times New Roman" w:cs="Times New Roman" w:eastAsia="Times New Roman" w:hAnsi="Times New Roman"/>
          <w:sz w:val="24"/>
          <w:szCs w:val="24"/>
        </w:rPr>
        <w:t xml:space="preserve">Ce mémoire présente la conception et la réalisation d’une plateforme intelligente de gestion de stations de recharge pour véhicules électriques intitulée « EV Charge Manager ». Le projet répond à la problématique de la mise en œuvre d’un protocole de communication V2G (Vehicle-to-Grid) basé sur la norme ISO 15118 sur matériel embarqué à faible coût, adapté au contexte algérien. La plateforme est construite autour de deux modules Raspberry Pi 3 simulant respectivement l’équipement de recharge (EVSEpi) et le véhicule électrique (EVpi), communicant via la bibliothèque Java open-source RISE V2G. La méthodologie adoptée comprend l’implémentation d’une stratégie de charge CC-CV dynamique, un module de réponse à la demande intégrant des données de production photovoltaïque, et une supervision IoT via la plateforme Emoncms. Les résultats obtenus confirment un décalage de seulement 0,38 % entre la puissance photovoltaïque disponible et la puissance de charge à un intervalle de mise à jour de 5 secondes. Ce travail démontre la faisabilité d’un prototype de recharge intelligent conforme aux standards internationaux sur matériel accessible.</w:t>
      </w:r>
    </w:p>
    <w:p>
      <w:pPr>
        <w:spacing w:after="120" w:before="0" w:line="360" w:lineRule="auto"/>
        <w:jc w:val="both"/>
      </w:pPr>
      <w:r>
        <w:rPr>
          <w:rFonts w:ascii="Times New Roman" w:cs="Times New Roman" w:eastAsia="Times New Roman" w:hAnsi="Times New Roman"/>
          <w:b/>
          <w:bCs/>
          <w:sz w:val="24"/>
          <w:szCs w:val="24"/>
        </w:rPr>
        <w:t xml:space="preserve">Mots-clés : Véhicule électrique, ISO 15118, OCPP 1.6, V2G, Raspberry Pi, RISE V2G, réponse à la demande, photovoltaïque.</w:t>
      </w:r>
    </w:p>
    <w:p>
      <w:pPr>
        <w:pStyle w:val="Heading2"/>
        <w:spacing w:after="240" w:before="240" w:line="360" w:lineRule="auto"/>
      </w:pPr>
      <w:r>
        <w:rPr>
          <w:rFonts w:ascii="Times New Roman" w:cs="Times New Roman" w:eastAsia="Times New Roman" w:hAnsi="Times New Roman"/>
          <w:b/>
          <w:bCs/>
          <w:sz w:val="26"/>
          <w:szCs w:val="26"/>
        </w:rPr>
        <w:t xml:space="preserve">Abstract (English)</w:t>
      </w:r>
    </w:p>
    <w:p>
      <w:pPr>
        <w:spacing w:after="120" w:before="0" w:line="360" w:lineRule="auto"/>
        <w:ind w:firstLine="720"/>
        <w:jc w:val="both"/>
      </w:pPr>
      <w:r>
        <w:rPr>
          <w:rFonts w:ascii="Times New Roman" w:cs="Times New Roman" w:eastAsia="Times New Roman" w:hAnsi="Times New Roman"/>
          <w:sz w:val="24"/>
          <w:szCs w:val="24"/>
        </w:rPr>
        <w:t xml:space="preserve">This memoir presents the design and implementation of a smart electric vehicle charging station management platform called “EV Charge Manager”. The project addresses the challenge of deploying a Vehicle-to-Grid (V2G) communication protocol based on the ISO 15118 standard on low-cost embedded hardware, adapted to the Algerian context. The platform is built around two Raspberry Pi 3 modules simulating the charging equipment (EVSEpi) and the electric vehicle (EVpi), communicating via the open-source RISE V2G Java library. The methodology includes the implementation of a dynamic CC-CV charging strategy, a demand response module integrating photovoltaic generation data, and IoT monitoring via the Emoncms platform. Results confirm a power mismatch of only 0.38% between available PV power and charging power at a 5-second update interval. This work demonstrates the feasibility of a standards-compliant smart charging prototype on accessible hardware.</w:t>
      </w:r>
    </w:p>
    <w:p>
      <w:pPr>
        <w:spacing w:after="120" w:before="0" w:line="360" w:lineRule="auto"/>
        <w:jc w:val="both"/>
      </w:pPr>
      <w:r>
        <w:rPr>
          <w:rFonts w:ascii="Times New Roman" w:cs="Times New Roman" w:eastAsia="Times New Roman" w:hAnsi="Times New Roman"/>
          <w:b/>
          <w:bCs/>
          <w:sz w:val="24"/>
          <w:szCs w:val="24"/>
        </w:rPr>
        <w:t xml:space="preserve">Keywords: Electric vehicle, ISO 15118, OCPP 1.6, V2G, Raspberry Pi, RISE V2G, demand response, photovoltaic.</w:t>
      </w:r>
    </w:p>
    <w:p>
      <w:pPr>
        <w:pStyle w:val="Heading2"/>
        <w:spacing w:after="240" w:before="240" w:line="360" w:lineRule="auto"/>
      </w:pPr>
      <w:r>
        <w:rPr>
          <w:rFonts w:ascii="Times New Roman" w:cs="Times New Roman" w:eastAsia="Times New Roman" w:hAnsi="Times New Roman"/>
          <w:b/>
          <w:bCs/>
          <w:sz w:val="26"/>
          <w:szCs w:val="26"/>
        </w:rPr>
        <w:t xml:space="preserve">ملخص (عربي)</w:t>
      </w:r>
    </w:p>
    <w:p>
      <w:pPr>
        <w:spacing w:after="120" w:before="0" w:line="360" w:lineRule="auto"/>
        <w:jc w:val="right"/>
      </w:pPr>
      <w:r>
        <w:rPr>
          <w:rFonts w:ascii="Times New Roman" w:cs="Times New Roman" w:eastAsia="Times New Roman" w:hAnsi="Times New Roman"/>
          <w:sz w:val="24"/>
          <w:szCs w:val="24"/>
        </w:rPr>
        <w:t xml:space="preserve">يقدّم هذا المذكّرة تصميم وإنجاز منصّة ذكيّة لإدارة محطّات شحن السيّارات الكهربائيّة تحت عنوان « EV Charge Manager ». يستجيب المشروع لإشكاليّة تطبيق بروتوكول الاتّصال V2G وفق معيار ISO 15118 على عتاد مدمج محدود التكلفة. تعتمد المنصّة على جهازي Raspberry Pi 3 يجسّدان جانب محطّة الشحن (EVSEpi) وجانب السيّارة (EVpi), مع استخدام مكتبة RISE V2G مفتوحة المصدر. أثبتت النتائج عدم تطابق بنسبة 0,38 % فقط بين الطاقة الكهروضوئيّة وطاقة الشحن عند دورة تحديث 5 ثوانِ.</w:t>
      </w:r>
    </w:p>
    <w:p>
      <w:pPr>
        <w:spacing w:after="120" w:before="0"/>
        <w:jc w:val="right"/>
      </w:pPr>
      <w:r>
        <w:rPr>
          <w:rFonts w:ascii="Times New Roman" w:cs="Times New Roman" w:eastAsia="Times New Roman" w:hAnsi="Times New Roman"/>
          <w:b/>
          <w:bCs/>
          <w:sz w:val="24"/>
          <w:szCs w:val="24"/>
        </w:rPr>
        <w:t xml:space="preserve">الكلمات المفتاحيّة : سيّارة كهربائيّة، ISO 15118، OCPP 1.6، V2G، Raspberry Pi، طاقة شمسيّة، استجابة للطلب.</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Table des matières</w:t>
      </w:r>
    </w:p>
    <w:p>
      <w:pPr>
        <w:spacing w:after="120" w:before="0" w:line="360" w:lineRule="auto"/>
        <w:ind w:firstLine="720"/>
        <w:jc w:val="both"/>
      </w:pPr>
      <w:r>
        <w:rPr>
          <w:rFonts w:ascii="Times New Roman" w:cs="Times New Roman" w:eastAsia="Times New Roman" w:hAnsi="Times New Roman"/>
          <w:sz w:val="24"/>
          <w:szCs w:val="24"/>
        </w:rPr>
        <w:t xml:space="preserve">[Générer automatiquement via Word : Références → Table des matières]</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Liste des Figures</w:t>
      </w:r>
    </w:p>
    <w:p>
      <w:pPr>
        <w:spacing w:after="120" w:before="0" w:line="360" w:lineRule="auto"/>
        <w:jc w:val="both"/>
      </w:pPr>
      <w:r>
        <w:rPr>
          <w:rFonts w:ascii="Times New Roman" w:cs="Times New Roman" w:eastAsia="Times New Roman" w:hAnsi="Times New Roman"/>
          <w:sz w:val="24"/>
          <w:szCs w:val="24"/>
        </w:rPr>
        <w:t xml:space="preserve">Figure 3.1 – Architecture du système : modules EVSEpi et EVpi ..................................... XX</w:t>
      </w:r>
    </w:p>
    <w:p>
      <w:pPr>
        <w:spacing w:after="120" w:before="0" w:line="360" w:lineRule="auto"/>
        <w:jc w:val="both"/>
      </w:pPr>
      <w:r>
        <w:rPr>
          <w:rFonts w:ascii="Times New Roman" w:cs="Times New Roman" w:eastAsia="Times New Roman" w:hAnsi="Times New Roman"/>
          <w:sz w:val="24"/>
          <w:szCs w:val="24"/>
        </w:rPr>
        <w:t xml:space="preserve">Figure 4.1 – Diagramme de cas d’utilisation : authentification via bouton de démarrage .......... XX</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Liste des Tableaux</w:t>
      </w:r>
    </w:p>
    <w:p>
      <w:pPr>
        <w:spacing w:after="120" w:before="0" w:line="360" w:lineRule="auto"/>
        <w:jc w:val="both"/>
      </w:pPr>
      <w:r>
        <w:rPr>
          <w:rFonts w:ascii="Times New Roman" w:cs="Times New Roman" w:eastAsia="Times New Roman" w:hAnsi="Times New Roman"/>
          <w:sz w:val="24"/>
          <w:szCs w:val="24"/>
        </w:rPr>
        <w:t xml:space="preserve">Tableau 1.1 – Comparaison des capacités ISO 15118 vs IEC 61851-1 ........................................ XX</w:t>
      </w:r>
    </w:p>
    <w:p>
      <w:pPr>
        <w:spacing w:after="120" w:before="0" w:line="360" w:lineRule="auto"/>
        <w:jc w:val="both"/>
      </w:pPr>
      <w:r>
        <w:rPr>
          <w:rFonts w:ascii="Times New Roman" w:cs="Times New Roman" w:eastAsia="Times New Roman" w:hAnsi="Times New Roman"/>
          <w:sz w:val="24"/>
          <w:szCs w:val="24"/>
        </w:rPr>
        <w:t xml:space="preserve">Tableau 2.1 – Comparaison technique : OCPP 1.6 vs OCPP 2.0 ........................................... XX</w:t>
      </w:r>
    </w:p>
    <w:p>
      <w:pPr>
        <w:spacing w:after="120" w:before="0" w:line="360" w:lineRule="auto"/>
        <w:jc w:val="both"/>
      </w:pPr>
      <w:r>
        <w:rPr>
          <w:rFonts w:ascii="Times New Roman" w:cs="Times New Roman" w:eastAsia="Times New Roman" w:hAnsi="Times New Roman"/>
          <w:sz w:val="24"/>
          <w:szCs w:val="24"/>
        </w:rPr>
        <w:t xml:space="preserve">Tableau 4.1 – Récapitulatif des paramètres d’implémentation ISO 15118 ............................... XX</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Liste des Sigles et Abréviations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sz w:val="22"/>
                <w:szCs w:val="22"/>
              </w:rPr>
              <w:t xml:space="preserve">Sigle</w:t>
            </w:r>
          </w:p>
        </w:tc>
        <w:tc>
          <w:tcPr>
            <w:tcW w:type="dxa" w:w="727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sz w:val="22"/>
                <w:szCs w:val="22"/>
              </w:rPr>
              <w:t xml:space="preserve">Signification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Constant Current (Courant Constant)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CSMS</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Charging Station Management System</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CV</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Constant Voltage (Tension Constante)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EIM</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External Identification Means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EV</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Electric Vehicle (Véhicule Électrique)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EVCC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Electric Vehicle Communication Controller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EVSE</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Electric Vehicle Supply Equipment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HMI</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Human-Machine Interface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IEC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International Electrotechnical Commission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IoT</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Internet of Things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ISO</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International Organization for Standardization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OCPP</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Open Charge Point Protocol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PnC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Plug &amp; Charge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PV</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Photovoltaic (Photovoltaïque)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RISE V2G</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Robust Implementation and Standardized Extensions for V2G</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SECC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Supply Equipment Communication Controller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SoC</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State of Charge (État de Charge)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TLS</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Transport Layer Security</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V2G</w:t>
            </w:r>
          </w:p>
        </w:tc>
        <w:tc>
          <w:tcPr>
            <w:tcW w:type="dxa" w:w="7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Vehicle-to-Grid</w:t>
            </w:r>
          </w:p>
        </w:tc>
      </w:tr>
    </w:tbl>
    <w:p>
      <w:r>
        <w:br w:type="page"/>
      </w:r>
    </w:p>
    <w:p>
      <w:pPr>
        <w:sectPr>
          <w:pgSz w:w="11906" w:h="16838" w:orient="portrait"/>
          <w:pgMar w:top="1418" w:right="1418" w:bottom="1418" w:left="1418" w:header="708" w:footer="708" w:gutter="0"/>
          <w:pgNumType/>
          <w:docGrid w:linePitch="360"/>
        </w:sectPr>
      </w:pPr>
    </w:p>
    <w:p>
      <w:pPr>
        <w:pStyle w:val="Heading1"/>
        <w:spacing w:after="240" w:before="240" w:line="360" w:lineRule="auto"/>
      </w:pPr>
      <w:r>
        <w:rPr>
          <w:rFonts w:ascii="Times New Roman" w:cs="Times New Roman" w:eastAsia="Times New Roman" w:hAnsi="Times New Roman"/>
          <w:b/>
          <w:bCs/>
          <w:sz w:val="28"/>
          <w:szCs w:val="28"/>
        </w:rPr>
        <w:t xml:space="preserve">Introduction Générale</w:t>
      </w:r>
    </w:p>
    <w:p>
      <w:pPr>
        <w:spacing w:after="120" w:before="0" w:line="360" w:lineRule="auto"/>
        <w:ind w:firstLine="720"/>
        <w:jc w:val="both"/>
      </w:pPr>
      <w:r>
        <w:rPr>
          <w:rFonts w:ascii="Times New Roman" w:cs="Times New Roman" w:eastAsia="Times New Roman" w:hAnsi="Times New Roman"/>
          <w:sz w:val="24"/>
          <w:szCs w:val="24"/>
        </w:rPr>
        <w:t xml:space="preserve">La transition énergétique mondiale reconfigure le secteur des transports à un rythme sans précédent. Les véhicules électriques (VE) s’imposent comme un élément central de cette mutation, offrant une alternative plus propre aux moteurs à combustion interne. Cependant, leur déploiement massif est indissociable de la disponibilité d’une infrastructure de recharge fiable, intelligente et interopérable.</w:t>
      </w:r>
    </w:p>
    <w:p>
      <w:pPr>
        <w:spacing w:after="120" w:before="0" w:line="360" w:lineRule="auto"/>
        <w:ind w:firstLine="720"/>
        <w:jc w:val="both"/>
      </w:pPr>
      <w:r>
        <w:rPr>
          <w:rFonts w:ascii="Times New Roman" w:cs="Times New Roman" w:eastAsia="Times New Roman" w:hAnsi="Times New Roman"/>
          <w:sz w:val="24"/>
          <w:szCs w:val="24"/>
        </w:rPr>
        <w:t xml:space="preserve">En Algérie, l’écosystème des véhicules électriques en est à ses premières étapes. Si les ambitions nationales de transition énergétique offrent un cadre favorable, le déploiement pratique des infrastructures de recharge reste limité, soulignant la pertinence de contributions académiques et techniques qui tiennent compte des contraintes locales tout en s’alignant sur les normes internationales.</w:t>
      </w:r>
    </w:p>
    <w:p>
      <w:pPr>
        <w:spacing w:after="120" w:before="0" w:line="360" w:lineRule="auto"/>
        <w:ind w:firstLine="720"/>
        <w:jc w:val="both"/>
      </w:pPr>
      <w:r>
        <w:rPr>
          <w:rFonts w:ascii="Times New Roman" w:cs="Times New Roman" w:eastAsia="Times New Roman" w:hAnsi="Times New Roman"/>
          <w:sz w:val="24"/>
          <w:szCs w:val="24"/>
        </w:rPr>
        <w:t xml:space="preserve">Ce projet, intitulé « Smart Electric Vehicle Charging Station Management Platform — EV Charge Manager », a pour but de concevoir et de réaliser un prototype fonctionnel d’un système de recharge intégrant le protocole V2G de la norme ISO 15118 avec une couche de gestion OCPP. La problématique centrale est la suivante : comment implémenter un protocole de communication de recharge intelligente conforme aux standards internationaux sur du matériel embarqué à faible coût, dans un contexte marqué par une infrastructure VE naissante ?</w:t>
      </w:r>
    </w:p>
    <w:p>
      <w:pPr>
        <w:spacing w:after="120" w:before="0" w:line="360" w:lineRule="auto"/>
        <w:ind w:firstLine="720"/>
        <w:jc w:val="both"/>
      </w:pPr>
      <w:r>
        <w:rPr>
          <w:rFonts w:ascii="Times New Roman" w:cs="Times New Roman" w:eastAsia="Times New Roman" w:hAnsi="Times New Roman"/>
          <w:sz w:val="24"/>
          <w:szCs w:val="24"/>
        </w:rPr>
        <w:t xml:space="preserve">Les objectifs du projet sont :</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Implémenter une session de communication V2G complète selon ISO 15118-2 entre un équipement de recharge et un 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Déployer une stratégie de charge CC-CV dynamique avec mises à jour des paramètres en temps réel toutes les 5 secondes.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Intégrer un module de réponse à la demande piloté par des données de production photovoltaïque.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Assurer la supervision de la session de charge via un tableau de bord IoT Emoncms.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Justifier le choix d’OCPP 1.6 comme protocole de gestion adapté au contexte algérien.</w:t>
      </w:r>
    </w:p>
    <w:p>
      <w:pPr>
        <w:spacing w:after="120" w:before="0" w:line="360" w:lineRule="auto"/>
        <w:ind w:firstLine="720"/>
        <w:jc w:val="both"/>
      </w:pPr>
      <w:r>
        <w:rPr>
          <w:rFonts w:ascii="Times New Roman" w:cs="Times New Roman" w:eastAsia="Times New Roman" w:hAnsi="Times New Roman"/>
          <w:sz w:val="24"/>
          <w:szCs w:val="24"/>
        </w:rPr>
        <w:t xml:space="preserve">La démarche adoptée est expérimentale et prototypale : elle s’appuie sur des composants open-source (RISE V2G, Emoncms) et du matériel accessible (Raspberry Pi 3) afin de valider la faisabilité technique dans un cadre académique.</w:t>
      </w:r>
    </w:p>
    <w:p>
      <w:pPr>
        <w:spacing w:after="120" w:before="0" w:line="360" w:lineRule="auto"/>
        <w:ind w:firstLine="720"/>
        <w:jc w:val="both"/>
      </w:pPr>
      <w:r>
        <w:rPr>
          <w:rFonts w:ascii="Times New Roman" w:cs="Times New Roman" w:eastAsia="Times New Roman" w:hAnsi="Times New Roman"/>
          <w:sz w:val="24"/>
          <w:szCs w:val="24"/>
        </w:rPr>
        <w:t xml:space="preserve">Ce mémoire est structuré en quatre chapitres. Le Chapitre 1 présente l’état de l’art sur les normes et protocoles clés de la recharge intelligente. Le Chapitre 2 définit les besoins fonctionnels et non fonctionnels du système. Le Chapitre 3 décrit la conception de l’architecture. Le Chapitre 4 présente la réalisation technique et les résultats obtenus. Une conclusion générale clôture le document en dressant le bilan des contributions et en proposant des perspectives.</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Chapitre 1 : État de l’Art</w:t>
      </w:r>
    </w:p>
    <w:p>
      <w:pPr>
        <w:spacing w:after="120" w:before="0" w:line="360" w:lineRule="auto"/>
        <w:ind w:firstLine="720"/>
        <w:jc w:val="both"/>
      </w:pPr>
      <w:r>
        <w:rPr>
          <w:rFonts w:ascii="Times New Roman" w:cs="Times New Roman" w:eastAsia="Times New Roman" w:hAnsi="Times New Roman"/>
          <w:sz w:val="24"/>
          <w:szCs w:val="24"/>
        </w:rPr>
        <w:t xml:space="preserve">Ce chapitre présente une revue des principaux standards et protocoles qui sous-tendent l’infrastructure moderne de recharge des véhicules électriques. Il aborde successivement la norme ISO 15118, le protocole OCPP dans ses deux versions principales, et se conclut par une justification argumentée des choix technologiques retenus pour ce projet.</w:t>
      </w:r>
    </w:p>
    <w:p>
      <w:pPr>
        <w:pStyle w:val="Heading2"/>
        <w:spacing w:after="240" w:before="240" w:line="360" w:lineRule="auto"/>
      </w:pPr>
      <w:r>
        <w:rPr>
          <w:rFonts w:ascii="Times New Roman" w:cs="Times New Roman" w:eastAsia="Times New Roman" w:hAnsi="Times New Roman"/>
          <w:b/>
          <w:bCs/>
          <w:sz w:val="26"/>
          <w:szCs w:val="26"/>
        </w:rPr>
        <w:t xml:space="preserve">1.1 La norme ISO 15118</w:t>
      </w:r>
    </w:p>
    <w:p>
      <w:pPr>
        <w:pStyle w:val="Heading3"/>
        <w:spacing w:after="120" w:before="240" w:line="360" w:lineRule="auto"/>
      </w:pPr>
      <w:r>
        <w:rPr>
          <w:rFonts w:ascii="Times New Roman" w:cs="Times New Roman" w:eastAsia="Times New Roman" w:hAnsi="Times New Roman"/>
          <w:b/>
          <w:bCs/>
          <w:i/>
          <w:iCs/>
          <w:sz w:val="24"/>
          <w:szCs w:val="24"/>
        </w:rPr>
        <w:t xml:space="preserve">1.1.1 Définition et périmètre</w:t>
      </w:r>
    </w:p>
    <w:p>
      <w:pPr>
        <w:spacing w:after="120" w:before="0" w:line="360" w:lineRule="auto"/>
        <w:ind w:firstLine="720"/>
        <w:jc w:val="both"/>
      </w:pPr>
      <w:r>
        <w:rPr>
          <w:rFonts w:ascii="Times New Roman" w:cs="Times New Roman" w:eastAsia="Times New Roman" w:hAnsi="Times New Roman"/>
          <w:sz w:val="24"/>
          <w:szCs w:val="24"/>
        </w:rPr>
        <w:t xml:space="preserve">ISO 15118 est une norme internationale qui définit l’interface de communication entre un véhicule électrique (VE) et un équipement de fourniture d’électricité (EVSE), couramment appelé borne de recharge. Officiellement intitulée « Road Vehicles — Vehicle to Grid Communication Interface » [1], elle est développée par l’Organisation internationale de normalisation (ISO).</w:t>
      </w:r>
    </w:p>
    <w:p>
      <w:pPr>
        <w:spacing w:after="120" w:before="0" w:line="360" w:lineRule="auto"/>
        <w:ind w:firstLine="720"/>
        <w:jc w:val="both"/>
      </w:pPr>
      <w:r>
        <w:rPr>
          <w:rFonts w:ascii="Times New Roman" w:cs="Times New Roman" w:eastAsia="Times New Roman" w:hAnsi="Times New Roman"/>
          <w:sz w:val="24"/>
          <w:szCs w:val="24"/>
        </w:rPr>
        <w:t xml:space="preserve">La norme va bien au-delà de la simple détection de connexion. Elle établit un protocole de communication numérique bidirectionnel — désigné sous le terme Vehicle-to-Grid (V2G) — permettant aux VE et aux infrastructures de recharge d’échanger des données en temps réel. Ces échanges couvrent l’authentification, la négociation des paramètres de charge, la gestion de l’énergie et le support des services réseau.</w:t>
      </w:r>
    </w:p>
    <w:p>
      <w:pPr>
        <w:spacing w:after="120" w:before="0" w:line="360" w:lineRule="auto"/>
        <w:ind w:firstLine="720"/>
        <w:jc w:val="both"/>
      </w:pPr>
      <w:r>
        <w:rPr>
          <w:rFonts w:ascii="Times New Roman" w:cs="Times New Roman" w:eastAsia="Times New Roman" w:hAnsi="Times New Roman"/>
          <w:sz w:val="24"/>
          <w:szCs w:val="24"/>
        </w:rPr>
        <w:t xml:space="preserve">ISO 15118 est structurée en plusieurs parties (Parties 1 à 20), couvrant les couches physique, réseau, transport, application et sécurité. La version la plus pertinente pour les implémentations pratiques est ISO 15118-2, qui définit l’ensemble des messages de la couche applicative utilisés au cours d’une session de charge [1].</w:t>
      </w:r>
    </w:p>
    <w:p>
      <w:pPr>
        <w:pStyle w:val="Heading3"/>
        <w:spacing w:after="120" w:before="240" w:line="360" w:lineRule="auto"/>
      </w:pPr>
      <w:r>
        <w:rPr>
          <w:rFonts w:ascii="Times New Roman" w:cs="Times New Roman" w:eastAsia="Times New Roman" w:hAnsi="Times New Roman"/>
          <w:b/>
          <w:bCs/>
          <w:i/>
          <w:iCs/>
          <w:sz w:val="24"/>
          <w:szCs w:val="24"/>
        </w:rPr>
        <w:t xml:space="preserve">1.1.2 Capacités clés</w:t>
      </w:r>
    </w:p>
    <w:p>
      <w:pPr>
        <w:spacing w:after="120" w:before="0" w:line="360" w:lineRule="auto"/>
        <w:ind w:firstLine="720"/>
        <w:jc w:val="both"/>
      </w:pPr>
      <w:r>
        <w:rPr>
          <w:rFonts w:ascii="Times New Roman" w:cs="Times New Roman" w:eastAsia="Times New Roman" w:hAnsi="Times New Roman"/>
          <w:sz w:val="24"/>
          <w:szCs w:val="24"/>
        </w:rPr>
        <w:t xml:space="preserve">Avant ISO 15118, la recharge des VE reposait sur la norme IEC 61851-1, qui utilise une signalisation simple par pilote de contrôle. Cette approche ne communique que deux informations : la présence d’un véhicule connecté et le courant maximum disponible. ISO 15118 dépasse ces limitations en permettant [1, 6] :</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Plug &amp; Charge (PnC) : </w:t>
      </w:r>
      <w:r>
        <w:rPr>
          <w:rFonts w:ascii="Times New Roman" w:cs="Times New Roman" w:eastAsia="Times New Roman" w:hAnsi="Times New Roman"/>
          <w:sz w:val="24"/>
          <w:szCs w:val="24"/>
        </w:rPr>
        <w:t xml:space="preserve">le VE est automatiquement identifié et autorisé via des certificats numériques, sans carte RFID ni application mobile.</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Communication bidirectionnelle : </w:t>
      </w:r>
      <w:r>
        <w:rPr>
          <w:rFonts w:ascii="Times New Roman" w:cs="Times New Roman" w:eastAsia="Times New Roman" w:hAnsi="Times New Roman"/>
          <w:sz w:val="24"/>
          <w:szCs w:val="24"/>
        </w:rPr>
        <w:t xml:space="preserve">le VE et l’EVSE échangent des paramètres détaillés tels que l’état de charge (SoC), la tension et le courant cibles, et les limites de puissance.</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Réponse à la demande : </w:t>
      </w:r>
      <w:r>
        <w:rPr>
          <w:rFonts w:ascii="Times New Roman" w:cs="Times New Roman" w:eastAsia="Times New Roman" w:hAnsi="Times New Roman"/>
          <w:sz w:val="24"/>
          <w:szCs w:val="24"/>
        </w:rPr>
        <w:t xml:space="preserve">la borne ajuste dynamiquement la puissance de charge en fonction des conditions du réseau ou de la disponibilité des énergies renouvelables.</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Vehicle-to-Grid (V2G) : </w:t>
      </w:r>
      <w:r>
        <w:rPr>
          <w:rFonts w:ascii="Times New Roman" w:cs="Times New Roman" w:eastAsia="Times New Roman" w:hAnsi="Times New Roman"/>
          <w:sz w:val="24"/>
          <w:szCs w:val="24"/>
        </w:rPr>
        <w:t xml:space="preserve">dans les configurations supportées, l’énergie stockée dans la batterie du VE peut être réinjectée sur le réseau.</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Sécurité : </w:t>
      </w:r>
      <w:r>
        <w:rPr>
          <w:rFonts w:ascii="Times New Roman" w:cs="Times New Roman" w:eastAsia="Times New Roman" w:hAnsi="Times New Roman"/>
          <w:sz w:val="24"/>
          <w:szCs w:val="24"/>
        </w:rPr>
        <w:t xml:space="preserve">communication chiffrée par TLS avec authentification mutuelle par certificats.</w:t>
      </w:r>
    </w:p>
    <w:p>
      <w:pPr>
        <w:spacing w:after="120" w:before="0" w:line="360" w:lineRule="auto"/>
        <w:ind w:firstLine="720"/>
        <w:jc w:val="both"/>
      </w:pPr>
      <w:r>
        <w:rPr>
          <w:rFonts w:ascii="Times New Roman" w:cs="Times New Roman" w:eastAsia="Times New Roman" w:hAnsi="Times New Roman"/>
          <w:sz w:val="24"/>
          <w:szCs w:val="24"/>
        </w:rPr>
        <w:t xml:space="preserve">Le Tableau 1.1 synthétise les principales capacités d’ISO 15118 comparées à la norme légacy IEC 61851-1.</w:t>
      </w:r>
    </w:p>
    <w:p>
      <w:pPr>
        <w:spacing w:after="60" w:before="240"/>
        <w:jc w:val="center"/>
      </w:pPr>
      <w:r>
        <w:rPr>
          <w:rFonts w:ascii="Times New Roman" w:cs="Times New Roman" w:eastAsia="Times New Roman" w:hAnsi="Times New Roman"/>
          <w:b/>
          <w:bCs/>
          <w:i/>
          <w:iCs/>
          <w:sz w:val="22"/>
          <w:szCs w:val="22"/>
        </w:rPr>
        <w:t xml:space="preserve">Tableau 1.1 – Comparaison des capacités ISO 15118 vs IEC 61851-1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c>
          <w:tcPr>
            <w:tcW w:type="dxa" w:w="302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sz w:val="22"/>
                <w:szCs w:val="22"/>
              </w:rPr>
              <w:t xml:space="preserve">Capacité</w:t>
            </w:r>
          </w:p>
        </w:tc>
        <w:tc>
          <w:tcPr>
            <w:tcW w:type="dxa" w:w="302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sz w:val="22"/>
                <w:szCs w:val="22"/>
              </w:rPr>
              <w:t xml:space="preserve">IEC 61851-1</w:t>
            </w:r>
          </w:p>
        </w:tc>
        <w:tc>
          <w:tcPr>
            <w:tcW w:type="dxa" w:w="3024"/>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sz w:val="22"/>
                <w:szCs w:val="22"/>
              </w:rPr>
              <w:t xml:space="preserve">ISO 15118</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Authentification</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Aucune / RFID</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Certificats (PnC)</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Échange de paramètres</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Courant max seulement</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SoC, tension, courant, temps</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Support V2G</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Non</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Oui</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Réponse à la demande</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Non</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Oui</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Sécurité</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Aucune</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TLS + auth mutuelle</w:t>
            </w:r>
          </w:p>
        </w:tc>
      </w:tr>
    </w:tbl>
    <w:p>
      <w:pPr>
        <w:spacing w:after="120"/>
      </w:pPr>
    </w:p>
    <w:p>
      <w:pPr>
        <w:pStyle w:val="Heading2"/>
        <w:spacing w:after="240" w:before="240" w:line="360" w:lineRule="auto"/>
      </w:pPr>
      <w:r>
        <w:rPr>
          <w:rFonts w:ascii="Times New Roman" w:cs="Times New Roman" w:eastAsia="Times New Roman" w:hAnsi="Times New Roman"/>
          <w:b/>
          <w:bCs/>
          <w:sz w:val="26"/>
          <w:szCs w:val="26"/>
        </w:rPr>
        <w:t xml:space="preserve">1.2 Le protocole OCPP</w:t>
      </w:r>
    </w:p>
    <w:p>
      <w:pPr>
        <w:spacing w:after="120" w:before="0" w:line="360" w:lineRule="auto"/>
        <w:ind w:firstLine="720"/>
        <w:jc w:val="both"/>
      </w:pPr>
      <w:r>
        <w:rPr>
          <w:rFonts w:ascii="Times New Roman" w:cs="Times New Roman" w:eastAsia="Times New Roman" w:hAnsi="Times New Roman"/>
          <w:sz w:val="24"/>
          <w:szCs w:val="24"/>
        </w:rPr>
        <w:t xml:space="preserve">Le protocole OCPP (Open Charge Point Protocol) est le socle de l’interopérabilité dans l’industrie de la recharge, permettant la communication entre les bornes et les systèmes de gestion centralisée (CSMS). Deux versions majeures co-existent : OCPP 1.6 et OCPP 2.0.</w:t>
      </w:r>
    </w:p>
    <w:p>
      <w:pPr>
        <w:pStyle w:val="Heading3"/>
        <w:spacing w:after="120" w:before="240" w:line="360" w:lineRule="auto"/>
      </w:pPr>
      <w:r>
        <w:rPr>
          <w:rFonts w:ascii="Times New Roman" w:cs="Times New Roman" w:eastAsia="Times New Roman" w:hAnsi="Times New Roman"/>
          <w:b/>
          <w:bCs/>
          <w:i/>
          <w:iCs/>
          <w:sz w:val="24"/>
          <w:szCs w:val="24"/>
        </w:rPr>
        <w:t xml:space="preserve">1.2.1 Gestion des équipements et structure</w:t>
      </w:r>
    </w:p>
    <w:p>
      <w:pPr>
        <w:spacing w:after="120" w:before="0" w:line="360" w:lineRule="auto"/>
        <w:ind w:firstLine="720"/>
        <w:jc w:val="both"/>
      </w:pPr>
      <w:r>
        <w:rPr>
          <w:rFonts w:ascii="Times New Roman" w:cs="Times New Roman" w:eastAsia="Times New Roman" w:hAnsi="Times New Roman"/>
          <w:sz w:val="24"/>
          <w:szCs w:val="24"/>
        </w:rPr>
        <w:t xml:space="preserve">OCPP 1.6 définit les connecteurs comme des prises indépendantes, chacune traitée comme une unité autonome. Il n’existe pas de concept explicite d’EVSE, ce qui limite la représentation de configurations complexes comme les stations multi-connecteurs [8, 9].</w:t>
      </w:r>
    </w:p>
    <w:p>
      <w:pPr>
        <w:spacing w:after="120" w:before="0" w:line="360" w:lineRule="auto"/>
        <w:ind w:firstLine="720"/>
        <w:jc w:val="both"/>
      </w:pPr>
      <w:r>
        <w:rPr>
          <w:rFonts w:ascii="Times New Roman" w:cs="Times New Roman" w:eastAsia="Times New Roman" w:hAnsi="Times New Roman"/>
          <w:sz w:val="24"/>
          <w:szCs w:val="24"/>
        </w:rPr>
        <w:t xml:space="preserve">OCPP 2.0 introduit un modèle hiérarchique, définissant l’EVSE comme une unité logique capable de gérer une session à la fois. Cette structure formalisée améliore la scalabilité et permet de gérer des configurations avancées [8].</w:t>
      </w:r>
    </w:p>
    <w:p>
      <w:pPr>
        <w:pStyle w:val="Heading3"/>
        <w:spacing w:after="120" w:before="240" w:line="360" w:lineRule="auto"/>
      </w:pPr>
      <w:r>
        <w:rPr>
          <w:rFonts w:ascii="Times New Roman" w:cs="Times New Roman" w:eastAsia="Times New Roman" w:hAnsi="Times New Roman"/>
          <w:b/>
          <w:bCs/>
          <w:i/>
          <w:iCs/>
          <w:sz w:val="24"/>
          <w:szCs w:val="24"/>
        </w:rPr>
        <w:t xml:space="preserve">1.2.2 Charge intelligente</w:t>
      </w:r>
    </w:p>
    <w:p>
      <w:pPr>
        <w:spacing w:after="120" w:before="0" w:line="360" w:lineRule="auto"/>
        <w:ind w:firstLine="720"/>
        <w:jc w:val="both"/>
      </w:pPr>
      <w:r>
        <w:rPr>
          <w:rFonts w:ascii="Times New Roman" w:cs="Times New Roman" w:eastAsia="Times New Roman" w:hAnsi="Times New Roman"/>
          <w:sz w:val="24"/>
          <w:szCs w:val="24"/>
        </w:rPr>
        <w:t xml:space="preserve">Dans OCPP 1.6, la charge intelligente est limitée à des profils prédéfinis et statiques : TxProfile (spécifique à une session), TxDefaultProfile (pour toutes les transactions d’un connecteur) et ChargingStationMaxProfile (limite totale de la station) [9].</w:t>
      </w:r>
    </w:p>
    <w:p>
      <w:pPr>
        <w:spacing w:after="120" w:before="0" w:line="360" w:lineRule="auto"/>
        <w:ind w:firstLine="720"/>
        <w:jc w:val="both"/>
      </w:pPr>
      <w:r>
        <w:rPr>
          <w:rFonts w:ascii="Times New Roman" w:cs="Times New Roman" w:eastAsia="Times New Roman" w:hAnsi="Times New Roman"/>
          <w:sz w:val="24"/>
          <w:szCs w:val="24"/>
        </w:rPr>
        <w:t xml:space="preserve">OCPP 2.0 introduit une charge intelligente dynamique, permettant des mises à jour en temps réel des profils de charge en fonction des conditions du réseau, des prix de l’énergie ou des plannings des véhicules. Il supporte également les profils récurrents et s’intègre nativement à ISO 15118 pour le Plug &amp; Charge et le V2G [8].</w:t>
      </w:r>
    </w:p>
    <w:p>
      <w:pPr>
        <w:pStyle w:val="Heading3"/>
        <w:spacing w:after="120" w:before="240" w:line="360" w:lineRule="auto"/>
      </w:pPr>
      <w:r>
        <w:rPr>
          <w:rFonts w:ascii="Times New Roman" w:cs="Times New Roman" w:eastAsia="Times New Roman" w:hAnsi="Times New Roman"/>
          <w:b/>
          <w:bCs/>
          <w:i/>
          <w:iCs/>
          <w:sz w:val="24"/>
          <w:szCs w:val="24"/>
        </w:rPr>
        <w:t xml:space="preserve">1.2.3 Sécurité</w:t>
      </w:r>
    </w:p>
    <w:p>
      <w:pPr>
        <w:spacing w:after="120" w:before="0" w:line="360" w:lineRule="auto"/>
        <w:ind w:firstLine="720"/>
        <w:jc w:val="both"/>
      </w:pPr>
      <w:r>
        <w:rPr>
          <w:rFonts w:ascii="Times New Roman" w:cs="Times New Roman" w:eastAsia="Times New Roman" w:hAnsi="Times New Roman"/>
          <w:sz w:val="24"/>
          <w:szCs w:val="24"/>
        </w:rPr>
        <w:t xml:space="preserve">OCPP 1.6 fournit une sécurité basique via le chiffrement TLS et une authentification par combinaison identifiant-mot de passe. OCPP 2.0 introduit trois profils de sécurité, le plus robuste reposant sur un chiffrement de bout en bout et une authentification mutuelle par certificats X.509 [8].</w:t>
      </w:r>
    </w:p>
    <w:p>
      <w:pPr>
        <w:pStyle w:val="Heading3"/>
        <w:spacing w:after="120" w:before="240" w:line="360" w:lineRule="auto"/>
      </w:pPr>
      <w:r>
        <w:rPr>
          <w:rFonts w:ascii="Times New Roman" w:cs="Times New Roman" w:eastAsia="Times New Roman" w:hAnsi="Times New Roman"/>
          <w:b/>
          <w:bCs/>
          <w:i/>
          <w:iCs/>
          <w:sz w:val="24"/>
          <w:szCs w:val="24"/>
        </w:rPr>
        <w:t xml:space="preserve">1.2.4 Comparaison technique</w:t>
      </w:r>
    </w:p>
    <w:p>
      <w:pPr>
        <w:spacing w:after="120" w:before="0" w:line="360" w:lineRule="auto"/>
        <w:ind w:firstLine="720"/>
        <w:jc w:val="both"/>
      </w:pPr>
      <w:r>
        <w:rPr>
          <w:rFonts w:ascii="Times New Roman" w:cs="Times New Roman" w:eastAsia="Times New Roman" w:hAnsi="Times New Roman"/>
          <w:sz w:val="24"/>
          <w:szCs w:val="24"/>
        </w:rPr>
        <w:t xml:space="preserve">Le Tableau 2.1 présente une comparaison synthétique des deux versions du protocole OCPP.</w:t>
      </w:r>
    </w:p>
    <w:p>
      <w:pPr>
        <w:spacing w:after="60" w:before="240"/>
        <w:jc w:val="center"/>
      </w:pPr>
      <w:r>
        <w:rPr>
          <w:rFonts w:ascii="Times New Roman" w:cs="Times New Roman" w:eastAsia="Times New Roman" w:hAnsi="Times New Roman"/>
          <w:b/>
          <w:bCs/>
          <w:i/>
          <w:iCs/>
          <w:sz w:val="22"/>
          <w:szCs w:val="22"/>
        </w:rPr>
        <w:t xml:space="preserve">Tableau 2.1 – Comparaison technique : OCPP 1.6 vs OCPP 2.0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c>
          <w:tcPr>
            <w:tcW w:type="dxa" w:w="302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sz w:val="22"/>
                <w:szCs w:val="22"/>
              </w:rPr>
              <w:t xml:space="preserve">Caractéristique</w:t>
            </w:r>
          </w:p>
        </w:tc>
        <w:tc>
          <w:tcPr>
            <w:tcW w:type="dxa" w:w="302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sz w:val="22"/>
                <w:szCs w:val="22"/>
              </w:rPr>
              <w:t xml:space="preserve">OCPP 1.6</w:t>
            </w:r>
          </w:p>
        </w:tc>
        <w:tc>
          <w:tcPr>
            <w:tcW w:type="dxa" w:w="3024"/>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sz w:val="22"/>
                <w:szCs w:val="22"/>
              </w:rPr>
              <w:t xml:space="preserve">OCPP 2.0</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Année de publication</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2015</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2020</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Adoption</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Très élevée</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En progression</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Charge intelligente</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Profils statiques</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Contrôle dynamique temps réel</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Sécurité</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TLS basique</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Certificats X.509 avancés</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Intégration ISO 15118</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Limitée</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Support natif</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Modèle d'équipements</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Simple</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Hiérarchique</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Complexité</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Faible</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Élevée</w:t>
            </w:r>
          </w:p>
        </w:tc>
      </w:tr>
    </w:tbl>
    <w:p>
      <w:pPr>
        <w:spacing w:after="120"/>
      </w:pPr>
    </w:p>
    <w:p>
      <w:pPr>
        <w:pStyle w:val="Heading2"/>
        <w:spacing w:after="240" w:before="240" w:line="360" w:lineRule="auto"/>
      </w:pPr>
      <w:r>
        <w:rPr>
          <w:rFonts w:ascii="Times New Roman" w:cs="Times New Roman" w:eastAsia="Times New Roman" w:hAnsi="Times New Roman"/>
          <w:b/>
          <w:bCs/>
          <w:sz w:val="26"/>
          <w:szCs w:val="26"/>
        </w:rPr>
        <w:t xml:space="preserve">1.3 Justification des choix technologiques</w:t>
      </w:r>
    </w:p>
    <w:p>
      <w:pPr>
        <w:spacing w:after="120" w:before="0" w:line="360" w:lineRule="auto"/>
        <w:ind w:firstLine="720"/>
        <w:jc w:val="both"/>
      </w:pPr>
      <w:r>
        <w:rPr>
          <w:rFonts w:ascii="Times New Roman" w:cs="Times New Roman" w:eastAsia="Times New Roman" w:hAnsi="Times New Roman"/>
          <w:sz w:val="24"/>
          <w:szCs w:val="24"/>
        </w:rPr>
        <w:t xml:space="preserve">La sélection des technologies pour ce projet a été guidée par les contraintes spécifiques du contexte algérien, le périmètre académique du prototype, et la disponibilité pratique du matériel et des outils.</w:t>
      </w:r>
    </w:p>
    <w:p>
      <w:pPr>
        <w:pStyle w:val="Heading3"/>
        <w:spacing w:after="120" w:before="240" w:line="360" w:lineRule="auto"/>
      </w:pPr>
      <w:r>
        <w:rPr>
          <w:rFonts w:ascii="Times New Roman" w:cs="Times New Roman" w:eastAsia="Times New Roman" w:hAnsi="Times New Roman"/>
          <w:b/>
          <w:bCs/>
          <w:i/>
          <w:iCs/>
          <w:sz w:val="24"/>
          <w:szCs w:val="24"/>
        </w:rPr>
        <w:t xml:space="preserve">1.3.1 Choix d’OCPP 1.6</w:t>
      </w:r>
    </w:p>
    <w:p>
      <w:pPr>
        <w:spacing w:after="120" w:before="0" w:line="360" w:lineRule="auto"/>
        <w:ind w:firstLine="720"/>
        <w:jc w:val="both"/>
      </w:pPr>
      <w:r>
        <w:rPr>
          <w:rFonts w:ascii="Times New Roman" w:cs="Times New Roman" w:eastAsia="Times New Roman" w:hAnsi="Times New Roman"/>
          <w:sz w:val="24"/>
          <w:szCs w:val="24"/>
        </w:rPr>
        <w:t xml:space="preserve">L’Algérie se trouve dans une phase précoce de déploiement des véhicules électriques, sans infrastructure de réseau intelligent ni écosystème V2G établi. Les fonctionnalités avancées d’OCPP 2.0 ne sont donc pas requis opérationnellement à ce stade. Plusieurs facteurs motivent le choix d’OCPP 1.6 :</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Infrastructure limitée : </w:t>
      </w:r>
      <w:r>
        <w:rPr>
          <w:rFonts w:ascii="Times New Roman" w:cs="Times New Roman" w:eastAsia="Times New Roman" w:hAnsi="Times New Roman"/>
          <w:sz w:val="24"/>
          <w:szCs w:val="24"/>
        </w:rPr>
        <w:t xml:space="preserve">l’Algérie ne dispose pas encore d’un réseau de bornes suffisamment dense pour bénéficier du modèle hiérarchique et de la gestion énergétique avancée d’OCPP 2.0 [10].</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Disponibilité du matériel : </w:t>
      </w:r>
      <w:r>
        <w:rPr>
          <w:rFonts w:ascii="Times New Roman" w:cs="Times New Roman" w:eastAsia="Times New Roman" w:hAnsi="Times New Roman"/>
          <w:sz w:val="24"/>
          <w:szCs w:val="24"/>
        </w:rPr>
        <w:t xml:space="preserve">la majorité des bornes de recharge à faible coût disponibles sur le marché algérien supporte uniquement OCPP 1.6. Les équipements certifiés OCPP 2.0 restent rares et nettement plus onéreux [11].</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Simplicité pour le prototypage académique : </w:t>
      </w:r>
      <w:r>
        <w:rPr>
          <w:rFonts w:ascii="Times New Roman" w:cs="Times New Roman" w:eastAsia="Times New Roman" w:hAnsi="Times New Roman"/>
          <w:sz w:val="24"/>
          <w:szCs w:val="24"/>
        </w:rPr>
        <w:t xml:space="preserve">OCPP 1.6 bénéficie d’un vaste écosystème de documentation, de tutoriels et d’outils open-source, facilitant le développement rapide dans le cadre de ce projet.</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Contraintes réseau : </w:t>
      </w:r>
      <w:r>
        <w:rPr>
          <w:rFonts w:ascii="Times New Roman" w:cs="Times New Roman" w:eastAsia="Times New Roman" w:hAnsi="Times New Roman"/>
          <w:sz w:val="24"/>
          <w:szCs w:val="24"/>
        </w:rPr>
        <w:t xml:space="preserve">OCPP 1.6 impose une charge de communication nettement inférieure à OCPP 2.0, le rendant plus résilient dans les environnements à connectivité limitée ou intermittente.</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Compatibilité industrielle : </w:t>
      </w:r>
      <w:r>
        <w:rPr>
          <w:rFonts w:ascii="Times New Roman" w:cs="Times New Roman" w:eastAsia="Times New Roman" w:hAnsi="Times New Roman"/>
          <w:sz w:val="24"/>
          <w:szCs w:val="24"/>
        </w:rPr>
        <w:t xml:space="preserve">OCPP 1.6 demeure le protocole dominant dans les réseaux de recharge déployés dans le monde [8, 9].</w:t>
      </w:r>
    </w:p>
    <w:p>
      <w:pPr>
        <w:pStyle w:val="Heading3"/>
        <w:spacing w:after="120" w:before="240" w:line="360" w:lineRule="auto"/>
      </w:pPr>
      <w:r>
        <w:rPr>
          <w:rFonts w:ascii="Times New Roman" w:cs="Times New Roman" w:eastAsia="Times New Roman" w:hAnsi="Times New Roman"/>
          <w:b/>
          <w:bCs/>
          <w:i/>
          <w:iCs/>
          <w:sz w:val="24"/>
          <w:szCs w:val="24"/>
        </w:rPr>
        <w:t xml:space="preserve">1.3.2 Choix d’ISO 15118-2 et RISE V2G</w:t>
      </w:r>
    </w:p>
    <w:p>
      <w:pPr>
        <w:spacing w:after="120" w:before="0" w:line="360" w:lineRule="auto"/>
        <w:ind w:firstLine="720"/>
        <w:jc w:val="both"/>
      </w:pPr>
      <w:r>
        <w:rPr>
          <w:rFonts w:ascii="Times New Roman" w:cs="Times New Roman" w:eastAsia="Times New Roman" w:hAnsi="Times New Roman"/>
          <w:sz w:val="24"/>
          <w:szCs w:val="24"/>
        </w:rPr>
        <w:t xml:space="preserve">ISO 15118-2 a été retenu comme couche de communication V2G car il définit l’ensemble complet des messages applicatifs pour la charge DC conductive, offrant le jeu de paramètres le plus riche pour une gestion intelligente de la charge. La bibliothèque open-source RISE V2G en Java a été choisie comme moteur d’implémentation en raison de sa conformité documentée à ISO 15118-2, de son support communautaire actif et de son adapté au déploiement sur Raspberry Pi [3].</w:t>
      </w:r>
    </w:p>
    <w:p>
      <w:pPr>
        <w:pStyle w:val="Heading2"/>
        <w:spacing w:after="240" w:before="240" w:line="360" w:lineRule="auto"/>
      </w:pPr>
      <w:r>
        <w:rPr>
          <w:rFonts w:ascii="Times New Roman" w:cs="Times New Roman" w:eastAsia="Times New Roman" w:hAnsi="Times New Roman"/>
          <w:b/>
          <w:bCs/>
          <w:sz w:val="26"/>
          <w:szCs w:val="26"/>
        </w:rPr>
        <w:t xml:space="preserve">1.4 Conclusion du chapitre</w:t>
      </w:r>
    </w:p>
    <w:p>
      <w:pPr>
        <w:spacing w:after="120" w:before="0" w:line="360" w:lineRule="auto"/>
        <w:ind w:firstLine="720"/>
        <w:jc w:val="both"/>
      </w:pPr>
      <w:r>
        <w:rPr>
          <w:rFonts w:ascii="Times New Roman" w:cs="Times New Roman" w:eastAsia="Times New Roman" w:hAnsi="Times New Roman"/>
          <w:sz w:val="24"/>
          <w:szCs w:val="24"/>
        </w:rPr>
        <w:t xml:space="preserve">Ce chapitre a passé en revue les deux piliers principaux de la recharge intelligente des véhicules électriques : la norme ISO 15118 pour le dialogue véhicule-borne, et le protocole OCPP pour la gestion borne-système central. L’analyse comparative des versions OCPP a conduit au choix justifié d’OCPP 1.6, tandis qu’ISO 15118-2 avec la bibliothèque RISE V2G a été retenu pour ses capacités V2G étendues. Ces choix constituent le fondement technique de la conception détaillée présentée dans les chapitres suivants.</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Chapitre 2 : Analyse et Spécification des Besoins</w:t>
      </w:r>
    </w:p>
    <w:p>
      <w:pPr>
        <w:spacing w:after="120" w:before="0" w:line="360" w:lineRule="auto"/>
        <w:ind w:firstLine="720"/>
        <w:jc w:val="both"/>
      </w:pPr>
      <w:r>
        <w:rPr>
          <w:rFonts w:ascii="Times New Roman" w:cs="Times New Roman" w:eastAsia="Times New Roman" w:hAnsi="Times New Roman"/>
          <w:sz w:val="24"/>
          <w:szCs w:val="24"/>
        </w:rPr>
        <w:t xml:space="preserve">Ce chapitre identifie et formalise les besoins fonctionnels et non fonctionnels du système EV Charge Manager. Il précise également le périmètre du projet, les contraintes techniques et l’environnement cible.</w:t>
      </w:r>
    </w:p>
    <w:p>
      <w:pPr>
        <w:pStyle w:val="Heading2"/>
        <w:spacing w:after="240" w:before="240" w:line="360" w:lineRule="auto"/>
      </w:pPr>
      <w:r>
        <w:rPr>
          <w:rFonts w:ascii="Times New Roman" w:cs="Times New Roman" w:eastAsia="Times New Roman" w:hAnsi="Times New Roman"/>
          <w:b/>
          <w:bCs/>
          <w:sz w:val="26"/>
          <w:szCs w:val="26"/>
        </w:rPr>
        <w:t xml:space="preserve">2.1 Périmètre du projet</w:t>
      </w:r>
    </w:p>
    <w:p>
      <w:pPr>
        <w:spacing w:after="120" w:before="0" w:line="360" w:lineRule="auto"/>
        <w:ind w:firstLine="720"/>
        <w:jc w:val="both"/>
      </w:pPr>
      <w:r>
        <w:rPr>
          <w:rFonts w:ascii="Times New Roman" w:cs="Times New Roman" w:eastAsia="Times New Roman" w:hAnsi="Times New Roman"/>
          <w:sz w:val="24"/>
          <w:szCs w:val="24"/>
        </w:rPr>
        <w:t xml:space="preserve">Le projet EV Charge Manager couvre les livrables suivants :</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 prototype matériel basé sur deux Raspberry Pi 3 simulant l’EVSE (EVSEpi) et le VE (EVpi).</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Une implémentation logicielle de la session V2G ISO 15118-2 via la bibliothèque RISE V2G, modifiée pour supporter les mises à jour dynamiques de paramètres.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Une stratégie de charge CC-CV émulant une batterie Li-ion virtuelle.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 module de réponse à la demande piloté par des données de génération photovoltaïque.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Une interface de supervision IoT via la plateforme Emoncms.</w:t>
      </w:r>
    </w:p>
    <w:p>
      <w:pPr>
        <w:spacing w:after="120" w:before="0" w:line="360" w:lineRule="auto"/>
        <w:ind w:firstLine="720"/>
        <w:jc w:val="both"/>
      </w:pPr>
      <w:r>
        <w:rPr>
          <w:rFonts w:ascii="Times New Roman" w:cs="Times New Roman" w:eastAsia="Times New Roman" w:hAnsi="Times New Roman"/>
          <w:sz w:val="24"/>
          <w:szCs w:val="24"/>
        </w:rPr>
        <w:t xml:space="preserve">Les aspects suivants sont hors du périmètre du prototype actuel et représentent des pistes pour les travaux futurs :</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Déploiement sur des équipements commerciaux certifiés OCPP 1.6.</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Intégration avec un réseau électrique réel ou une installation photovoltaïque opérationnelle.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Développement d’un Admin Dashboard multi-locataires complet avec modules de facturation et de ticketing.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Connexion à un serveur CSMS en production.</w:t>
      </w:r>
    </w:p>
    <w:p>
      <w:pPr>
        <w:pStyle w:val="Heading2"/>
        <w:spacing w:after="240" w:before="240" w:line="360" w:lineRule="auto"/>
      </w:pPr>
      <w:r>
        <w:rPr>
          <w:rFonts w:ascii="Times New Roman" w:cs="Times New Roman" w:eastAsia="Times New Roman" w:hAnsi="Times New Roman"/>
          <w:b/>
          <w:bCs/>
          <w:sz w:val="26"/>
          <w:szCs w:val="26"/>
        </w:rPr>
        <w:t xml:space="preserve">2.2 Besoins fonctionnels</w:t>
      </w:r>
    </w:p>
    <w:p>
      <w:pPr>
        <w:spacing w:after="120" w:before="0" w:line="360" w:lineRule="auto"/>
        <w:ind w:firstLine="720"/>
        <w:jc w:val="both"/>
      </w:pPr>
      <w:r>
        <w:rPr>
          <w:rFonts w:ascii="Times New Roman" w:cs="Times New Roman" w:eastAsia="Times New Roman" w:hAnsi="Times New Roman"/>
          <w:sz w:val="24"/>
          <w:szCs w:val="24"/>
        </w:rPr>
        <w:t xml:space="preserve">Les besoins fonctionnels décrivent les capacités que le système doit offrir à ses utilisateurs. Ils sont classés en deux catégories : les besoins liés à la communication de charge et ceux liés à la supervision.</w:t>
      </w:r>
    </w:p>
    <w:p>
      <w:pPr>
        <w:pStyle w:val="Heading3"/>
        <w:spacing w:after="120" w:before="240" w:line="360" w:lineRule="auto"/>
      </w:pPr>
      <w:r>
        <w:rPr>
          <w:rFonts w:ascii="Times New Roman" w:cs="Times New Roman" w:eastAsia="Times New Roman" w:hAnsi="Times New Roman"/>
          <w:b/>
          <w:bCs/>
          <w:i/>
          <w:iCs/>
          <w:sz w:val="24"/>
          <w:szCs w:val="24"/>
        </w:rPr>
        <w:t xml:space="preserve">2.2.1 Communication V2G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 système doit établir une session de communication ISO 15118-2 entre EVSEpi et EVpi.</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 système doit mettre à jour les paramètres de charge (SoC, tension, courant, temps restant) toutes les 5 secondes.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 système doit adapter la puissance de charge en fonction de la production photovoltaïque disponible.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 système doit authentifier la session via des certificats numériques (Plug &amp; Charge).</w:t>
      </w:r>
    </w:p>
    <w:p>
      <w:pPr>
        <w:pStyle w:val="Heading3"/>
        <w:spacing w:after="120" w:before="240" w:line="360" w:lineRule="auto"/>
      </w:pPr>
      <w:r>
        <w:rPr>
          <w:rFonts w:ascii="Times New Roman" w:cs="Times New Roman" w:eastAsia="Times New Roman" w:hAnsi="Times New Roman"/>
          <w:b/>
          <w:bCs/>
          <w:i/>
          <w:iCs/>
          <w:sz w:val="24"/>
          <w:szCs w:val="24"/>
        </w:rPr>
        <w:t xml:space="preserve">2.2.2 Supervision et monitoring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 système doit transmettre les données de charge à la plateforme Emoncms toutes les minutes.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 système doit afficher en temps réel le courant, la tension, le SoC, l’énergie consommée (kWh) et le coût de charge.</w:t>
      </w:r>
    </w:p>
    <w:p>
      <w:pPr>
        <w:pStyle w:val="Heading2"/>
        <w:spacing w:after="240" w:before="240" w:line="360" w:lineRule="auto"/>
      </w:pPr>
      <w:r>
        <w:rPr>
          <w:rFonts w:ascii="Times New Roman" w:cs="Times New Roman" w:eastAsia="Times New Roman" w:hAnsi="Times New Roman"/>
          <w:b/>
          <w:bCs/>
          <w:sz w:val="26"/>
          <w:szCs w:val="26"/>
        </w:rPr>
        <w:t xml:space="preserve">2.3 Besoins non fonctionnels</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Performance : </w:t>
      </w:r>
      <w:r>
        <w:rPr>
          <w:rFonts w:ascii="Times New Roman" w:cs="Times New Roman" w:eastAsia="Times New Roman" w:hAnsi="Times New Roman"/>
          <w:sz w:val="24"/>
          <w:szCs w:val="24"/>
        </w:rPr>
        <w:t xml:space="preserve">le décalage entre puissance générée et puissance de charge doit rester inférieur à 1 % à un intervalle de mise à jour de 5 secondes.</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Fiabilité : </w:t>
      </w:r>
      <w:r>
        <w:rPr>
          <w:rFonts w:ascii="Times New Roman" w:cs="Times New Roman" w:eastAsia="Times New Roman" w:hAnsi="Times New Roman"/>
          <w:sz w:val="24"/>
          <w:szCs w:val="24"/>
        </w:rPr>
        <w:t xml:space="preserve">la session V2G doit se maintenir sans interruption pendant toute la durée d’un test de charge complet (SoC 0 à 100 %).</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Sécurité : </w:t>
      </w:r>
      <w:r>
        <w:rPr>
          <w:rFonts w:ascii="Times New Roman" w:cs="Times New Roman" w:eastAsia="Times New Roman" w:hAnsi="Times New Roman"/>
          <w:sz w:val="24"/>
          <w:szCs w:val="24"/>
        </w:rPr>
        <w:t xml:space="preserve">toutes les communications V2G doivent être chiffrées par TLS avec authentification mutuelle.</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Accessibilité : </w:t>
      </w:r>
      <w:r>
        <w:rPr>
          <w:rFonts w:ascii="Times New Roman" w:cs="Times New Roman" w:eastAsia="Times New Roman" w:hAnsi="Times New Roman"/>
          <w:sz w:val="24"/>
          <w:szCs w:val="24"/>
        </w:rPr>
        <w:t xml:space="preserve">le prototype doit fonctionner sur du matériel accessible (Raspberry Pi 3) et des logiciels open-source.</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Maintenabilité : </w:t>
      </w:r>
      <w:r>
        <w:rPr>
          <w:rFonts w:ascii="Times New Roman" w:cs="Times New Roman" w:eastAsia="Times New Roman" w:hAnsi="Times New Roman"/>
          <w:sz w:val="24"/>
          <w:szCs w:val="24"/>
        </w:rPr>
        <w:t xml:space="preserve">le code de gestion doit être structuré en machine à états finis (FSM) pour faciliter les évolutions futures.</w:t>
      </w:r>
    </w:p>
    <w:p>
      <w:pPr>
        <w:pStyle w:val="Heading2"/>
        <w:spacing w:after="240" w:before="240" w:line="360" w:lineRule="auto"/>
      </w:pPr>
      <w:r>
        <w:rPr>
          <w:rFonts w:ascii="Times New Roman" w:cs="Times New Roman" w:eastAsia="Times New Roman" w:hAnsi="Times New Roman"/>
          <w:b/>
          <w:bCs/>
          <w:sz w:val="26"/>
          <w:szCs w:val="26"/>
        </w:rPr>
        <w:t xml:space="preserve">2.4 Cas d’utilisation principaux</w:t>
      </w:r>
    </w:p>
    <w:p>
      <w:pPr>
        <w:spacing w:after="120" w:before="0" w:line="360" w:lineRule="auto"/>
        <w:ind w:firstLine="720"/>
        <w:jc w:val="both"/>
      </w:pPr>
      <w:r>
        <w:rPr>
          <w:rFonts w:ascii="Times New Roman" w:cs="Times New Roman" w:eastAsia="Times New Roman" w:hAnsi="Times New Roman"/>
          <w:sz w:val="24"/>
          <w:szCs w:val="24"/>
        </w:rPr>
        <w:t xml:space="preserve">[Insérer ici le diagramme de cas d’utilisation UML — Figure 2.1]</w:t>
      </w:r>
    </w:p>
    <w:p>
      <w:pPr>
        <w:spacing w:after="120" w:before="0" w:line="360" w:lineRule="auto"/>
        <w:ind w:firstLine="720"/>
        <w:jc w:val="both"/>
      </w:pPr>
      <w:r>
        <w:rPr>
          <w:rFonts w:ascii="Times New Roman" w:cs="Times New Roman" w:eastAsia="Times New Roman" w:hAnsi="Times New Roman"/>
          <w:sz w:val="24"/>
          <w:szCs w:val="24"/>
        </w:rPr>
        <w:t xml:space="preserve">Les acteurs du système sont : l’utilisateur VE (conducteur), l’opérateur de point de charge (CPO) et la plateforme IoT Emoncms. Les cas d’utilisation principaux sont : lancer une session de charge, surveiller les paramètres en temps réel, adapter la puissance à la production PV, et consulter l’historique de charge.</w:t>
      </w:r>
    </w:p>
    <w:p>
      <w:pPr>
        <w:pStyle w:val="Heading2"/>
        <w:spacing w:after="240" w:before="240" w:line="360" w:lineRule="auto"/>
      </w:pPr>
      <w:r>
        <w:rPr>
          <w:rFonts w:ascii="Times New Roman" w:cs="Times New Roman" w:eastAsia="Times New Roman" w:hAnsi="Times New Roman"/>
          <w:b/>
          <w:bCs/>
          <w:sz w:val="26"/>
          <w:szCs w:val="26"/>
        </w:rPr>
        <w:t xml:space="preserve">2.5 Contraintes techniques et environnement cible</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Matériel : </w:t>
      </w:r>
      <w:r>
        <w:rPr>
          <w:rFonts w:ascii="Times New Roman" w:cs="Times New Roman" w:eastAsia="Times New Roman" w:hAnsi="Times New Roman"/>
          <w:sz w:val="24"/>
          <w:szCs w:val="24"/>
        </w:rPr>
        <w:t xml:space="preserve">Raspberry Pi 3 Model B (EVSEpi + EVpi), communication Wi-Fi.</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Logiciels : </w:t>
      </w:r>
      <w:r>
        <w:rPr>
          <w:rFonts w:ascii="Times New Roman" w:cs="Times New Roman" w:eastAsia="Times New Roman" w:hAnsi="Times New Roman"/>
          <w:sz w:val="24"/>
          <w:szCs w:val="24"/>
        </w:rPr>
        <w:t xml:space="preserve">bibliothèque RISE V2G (Java), plateforme Emoncms, système d’exploitation Linux (Raspbian).</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Protocoles : </w:t>
      </w:r>
      <w:r>
        <w:rPr>
          <w:rFonts w:ascii="Times New Roman" w:cs="Times New Roman" w:eastAsia="Times New Roman" w:hAnsi="Times New Roman"/>
          <w:sz w:val="24"/>
          <w:szCs w:val="24"/>
        </w:rPr>
        <w:t xml:space="preserve">ISO 15118-2 (couche V2G), OCPP 1.6 (couche de gestion), TLS (sécurité).</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Contexte : </w:t>
      </w:r>
      <w:r>
        <w:rPr>
          <w:rFonts w:ascii="Times New Roman" w:cs="Times New Roman" w:eastAsia="Times New Roman" w:hAnsi="Times New Roman"/>
          <w:sz w:val="24"/>
          <w:szCs w:val="24"/>
        </w:rPr>
        <w:t xml:space="preserve">prototype académique, environnement de laboratoire, données PV synthtiques.</w:t>
      </w:r>
    </w:p>
    <w:p>
      <w:pPr>
        <w:pStyle w:val="Heading2"/>
        <w:spacing w:after="240" w:before="240" w:line="360" w:lineRule="auto"/>
      </w:pPr>
      <w:r>
        <w:rPr>
          <w:rFonts w:ascii="Times New Roman" w:cs="Times New Roman" w:eastAsia="Times New Roman" w:hAnsi="Times New Roman"/>
          <w:b/>
          <w:bCs/>
          <w:sz w:val="26"/>
          <w:szCs w:val="26"/>
        </w:rPr>
        <w:t xml:space="preserve">2.6 Conclusion du chapitre</w:t>
      </w:r>
    </w:p>
    <w:p>
      <w:pPr>
        <w:spacing w:after="120" w:before="0" w:line="360" w:lineRule="auto"/>
        <w:ind w:firstLine="720"/>
        <w:jc w:val="both"/>
      </w:pPr>
      <w:r>
        <w:rPr>
          <w:rFonts w:ascii="Times New Roman" w:cs="Times New Roman" w:eastAsia="Times New Roman" w:hAnsi="Times New Roman"/>
          <w:sz w:val="24"/>
          <w:szCs w:val="24"/>
        </w:rPr>
        <w:t xml:space="preserve">Ce chapitre a formalisé les besoins du système EV Charge Manager, délimité son périmètre et identifié les contraintes techniques. Ces spécifications servent de base à la conception détaillée présentée dans le chapitre suivant.</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Chapitre 3 : Conception</w:t>
      </w:r>
    </w:p>
    <w:p>
      <w:pPr>
        <w:spacing w:after="120" w:before="0" w:line="360" w:lineRule="auto"/>
        <w:ind w:firstLine="720"/>
        <w:jc w:val="both"/>
      </w:pPr>
      <w:r>
        <w:rPr>
          <w:rFonts w:ascii="Times New Roman" w:cs="Times New Roman" w:eastAsia="Times New Roman" w:hAnsi="Times New Roman"/>
          <w:sz w:val="24"/>
          <w:szCs w:val="24"/>
        </w:rPr>
        <w:t xml:space="preserve">Ce chapitre décrit l’architecture logicielle et matérielle du système EV Charge Manager. Il présente les choix de conception argumentés, les diagrammes de conception et le modèle de communication entre les composants.</w:t>
      </w:r>
    </w:p>
    <w:p>
      <w:pPr>
        <w:pStyle w:val="Heading2"/>
        <w:spacing w:after="240" w:before="240" w:line="360" w:lineRule="auto"/>
      </w:pPr>
      <w:r>
        <w:rPr>
          <w:rFonts w:ascii="Times New Roman" w:cs="Times New Roman" w:eastAsia="Times New Roman" w:hAnsi="Times New Roman"/>
          <w:b/>
          <w:bCs/>
          <w:sz w:val="26"/>
          <w:szCs w:val="26"/>
        </w:rPr>
        <w:t xml:space="preserve">3.1 Architecture générale du système</w:t>
      </w:r>
    </w:p>
    <w:p>
      <w:pPr>
        <w:spacing w:after="120" w:before="0" w:line="360" w:lineRule="auto"/>
        <w:ind w:firstLine="720"/>
        <w:jc w:val="both"/>
      </w:pPr>
      <w:r>
        <w:rPr>
          <w:rFonts w:ascii="Times New Roman" w:cs="Times New Roman" w:eastAsia="Times New Roman" w:hAnsi="Times New Roman"/>
          <w:sz w:val="24"/>
          <w:szCs w:val="24"/>
        </w:rPr>
        <w:t xml:space="preserve">La plateforme est construite autour de deux modules microcontrˆoleurs, chacun fonctionnant sur un Raspberry Pi 3 Model B : l’EVSEpi représente la borne de recharge (côté EVSE), et l’EVpi représente le véhicule électrique. La communication entre le SECC (Supply Equipment Communication Controller) et l’EVCC (Electric Vehicle Communication Controller) est établie sur un réseau sans fil Wi-Fi, en s’appuyant sur la bibliothèque Java open-source RISE V2G comme moteur de communication ISO 15118-2.</w:t>
      </w:r>
    </w:p>
    <w:p>
      <w:pPr>
        <w:spacing w:after="120" w:before="0" w:line="360" w:lineRule="auto"/>
        <w:ind w:firstLine="720"/>
        <w:jc w:val="both"/>
      </w:pPr>
      <w:r>
        <w:rPr>
          <w:rFonts w:ascii="Times New Roman" w:cs="Times New Roman" w:eastAsia="Times New Roman" w:hAnsi="Times New Roman"/>
          <w:sz w:val="24"/>
          <w:szCs w:val="24"/>
        </w:rPr>
        <w:t xml:space="preserve">[Insérer ici le schéma d’architecture — Figure 3.1]</w:t>
      </w:r>
    </w:p>
    <w:p>
      <w:pPr>
        <w:pStyle w:val="Heading2"/>
        <w:spacing w:after="240" w:before="240" w:line="360" w:lineRule="auto"/>
      </w:pPr>
      <w:r>
        <w:rPr>
          <w:rFonts w:ascii="Times New Roman" w:cs="Times New Roman" w:eastAsia="Times New Roman" w:hAnsi="Times New Roman"/>
          <w:b/>
          <w:bCs/>
          <w:sz w:val="26"/>
          <w:szCs w:val="26"/>
        </w:rPr>
        <w:t xml:space="preserve">3.2 Composants de chaque module</w:t>
      </w:r>
    </w:p>
    <w:p>
      <w:pPr>
        <w:spacing w:after="120" w:before="0" w:line="360" w:lineRule="auto"/>
        <w:ind w:firstLine="720"/>
        <w:jc w:val="both"/>
      </w:pPr>
      <w:r>
        <w:rPr>
          <w:rFonts w:ascii="Times New Roman" w:cs="Times New Roman" w:eastAsia="Times New Roman" w:hAnsi="Times New Roman"/>
          <w:sz w:val="24"/>
          <w:szCs w:val="24"/>
        </w:rPr>
        <w:t xml:space="preserve">Chaque module (EVSEpi et EVpi) contient quatre sous-composants :</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Contrôleur de communication (SECC / EVCC) : </w:t>
      </w:r>
      <w:r>
        <w:rPr>
          <w:rFonts w:ascii="Times New Roman" w:cs="Times New Roman" w:eastAsia="Times New Roman" w:hAnsi="Times New Roman"/>
          <w:sz w:val="24"/>
          <w:szCs w:val="24"/>
        </w:rPr>
        <w:t xml:space="preserve">gère l’échange de messages V2G ISO 15118. Modifié pour supporter les mises à jour de paramètres dynamiques toutes les 5 secondes, surpassant la limitation statique de la bibliothèque RISE V2G de base.</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Fichier de paramètres : </w:t>
      </w:r>
      <w:r>
        <w:rPr>
          <w:rFonts w:ascii="Times New Roman" w:cs="Times New Roman" w:eastAsia="Times New Roman" w:hAnsi="Times New Roman"/>
          <w:sz w:val="24"/>
          <w:szCs w:val="24"/>
        </w:rPr>
        <w:t xml:space="preserve">sert d’interface partagée entre le contrôleur de communication et le code de gestion. Stocke tous les paramètres de charge (courant, tension, SoC, drapeaux) dans un format compatible avec RISE V2G.</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Code de gestion : </w:t>
      </w:r>
      <w:r>
        <w:rPr>
          <w:rFonts w:ascii="Times New Roman" w:cs="Times New Roman" w:eastAsia="Times New Roman" w:hAnsi="Times New Roman"/>
          <w:sz w:val="24"/>
          <w:szCs w:val="24"/>
        </w:rPr>
        <w:t xml:space="preserve">machine à états finis (FSM) en Java qui contrôle le processus de charge, met à jour les paramètres et communique avec l’IHM et la plateforme IoT.</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Interface Homme-Machine (IHM) : </w:t>
      </w:r>
      <w:r>
        <w:rPr>
          <w:rFonts w:ascii="Times New Roman" w:cs="Times New Roman" w:eastAsia="Times New Roman" w:hAnsi="Times New Roman"/>
          <w:sz w:val="24"/>
          <w:szCs w:val="24"/>
        </w:rPr>
        <w:t xml:space="preserve">permet à l’utilisateur VE et à l’opérateur CPO de configurer les paramètres et de surveiller la session de charge en temps réel.</w:t>
      </w:r>
    </w:p>
    <w:p>
      <w:pPr>
        <w:pStyle w:val="Heading2"/>
        <w:spacing w:after="240" w:before="240" w:line="360" w:lineRule="auto"/>
      </w:pPr>
      <w:r>
        <w:rPr>
          <w:rFonts w:ascii="Times New Roman" w:cs="Times New Roman" w:eastAsia="Times New Roman" w:hAnsi="Times New Roman"/>
          <w:b/>
          <w:bCs/>
          <w:sz w:val="26"/>
          <w:szCs w:val="26"/>
        </w:rPr>
        <w:t xml:space="preserve">3.3 Stratégie de charge CC-CV</w:t>
      </w:r>
    </w:p>
    <w:p>
      <w:pPr>
        <w:spacing w:after="120" w:before="0" w:line="360" w:lineRule="auto"/>
        <w:ind w:firstLine="720"/>
        <w:jc w:val="both"/>
      </w:pPr>
      <w:r>
        <w:rPr>
          <w:rFonts w:ascii="Times New Roman" w:cs="Times New Roman" w:eastAsia="Times New Roman" w:hAnsi="Times New Roman"/>
          <w:sz w:val="24"/>
          <w:szCs w:val="24"/>
        </w:rPr>
        <w:t xml:space="preserve">La plateforme opère en mode de transfert DC, choisi car la messagerie DC contient un ensemble de paramètres plus riche que l’AC. Le module VE émule une batterie Li-ion virtuelle selon la stratégie CC-CV (Courant Constant / Tension Constante) standard :</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Phase CC (SoC 0–79 %) : </w:t>
      </w:r>
      <w:r>
        <w:rPr>
          <w:rFonts w:ascii="Times New Roman" w:cs="Times New Roman" w:eastAsia="Times New Roman" w:hAnsi="Times New Roman"/>
          <w:sz w:val="24"/>
          <w:szCs w:val="24"/>
        </w:rPr>
        <w:t xml:space="preserve">l’EVCC demande le courant maximum tandis que la tension monte linéairement.</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Phase CV (SoC 80–100 %) : </w:t>
      </w:r>
      <w:r>
        <w:rPr>
          <w:rFonts w:ascii="Times New Roman" w:cs="Times New Roman" w:eastAsia="Times New Roman" w:hAnsi="Times New Roman"/>
          <w:sz w:val="24"/>
          <w:szCs w:val="24"/>
        </w:rPr>
        <w:t xml:space="preserve">la tension est maintenue à son maximum tandis que le courant décroít progressivement jusqu’à la charge complète.</w:t>
      </w:r>
    </w:p>
    <w:p>
      <w:pPr>
        <w:pStyle w:val="Heading2"/>
        <w:spacing w:after="240" w:before="240" w:line="360" w:lineRule="auto"/>
      </w:pPr>
      <w:r>
        <w:rPr>
          <w:rFonts w:ascii="Times New Roman" w:cs="Times New Roman" w:eastAsia="Times New Roman" w:hAnsi="Times New Roman"/>
          <w:b/>
          <w:bCs/>
          <w:sz w:val="26"/>
          <w:szCs w:val="26"/>
        </w:rPr>
        <w:t xml:space="preserve">3.4 Module de réponse à la demande photovoltaïque</w:t>
      </w:r>
    </w:p>
    <w:p>
      <w:pPr>
        <w:spacing w:after="120" w:before="0" w:line="360" w:lineRule="auto"/>
        <w:ind w:firstLine="720"/>
        <w:jc w:val="both"/>
      </w:pPr>
      <w:r>
        <w:rPr>
          <w:rFonts w:ascii="Times New Roman" w:cs="Times New Roman" w:eastAsia="Times New Roman" w:hAnsi="Times New Roman"/>
          <w:sz w:val="24"/>
          <w:szCs w:val="24"/>
        </w:rPr>
        <w:t xml:space="preserve">L’un des cas d’utilisation principaux implémentés est la réponse à la demande pilotée par la génération photovoltaïque. Lorsque la production PV fluctue, le code de gestion de l’EVSEpi ajuste les limites de courant et de tension de l’EVSE en conséquence. Ces nouvelles limites sont communiquées au VE via le message CurrentDemandRes, comme spécifié dans ISO 15118-2 [1], amenant le véhicule à adapter son taux de charge dans le cycle de communication suivant de 5 secondes.</w:t>
      </w:r>
    </w:p>
    <w:p>
      <w:pPr>
        <w:pStyle w:val="Heading2"/>
        <w:spacing w:after="240" w:before="240" w:line="360" w:lineRule="auto"/>
      </w:pPr>
      <w:r>
        <w:rPr>
          <w:rFonts w:ascii="Times New Roman" w:cs="Times New Roman" w:eastAsia="Times New Roman" w:hAnsi="Times New Roman"/>
          <w:b/>
          <w:bCs/>
          <w:sz w:val="26"/>
          <w:szCs w:val="26"/>
        </w:rPr>
        <w:t xml:space="preserve">3.5 Architecture de sécurité</w:t>
      </w:r>
    </w:p>
    <w:p>
      <w:pPr>
        <w:spacing w:after="120" w:before="0" w:line="360" w:lineRule="auto"/>
        <w:ind w:firstLine="720"/>
        <w:jc w:val="both"/>
      </w:pPr>
      <w:r>
        <w:rPr>
          <w:rFonts w:ascii="Times New Roman" w:cs="Times New Roman" w:eastAsia="Times New Roman" w:hAnsi="Times New Roman"/>
          <w:sz w:val="24"/>
          <w:szCs w:val="24"/>
        </w:rPr>
        <w:t xml:space="preserve">La plateforme utilise l’authentification par certificats comme méthode d’identité et de paiement, telle que définie dans le flux Plug &amp; Charge (PnC) d’ISO 15118. Les certificats sont implémentés à partir de l’infrastructure de la bibliothèque RISE V2G et offrent une sécurité supérieure aux moyens d’identification externe (EIM). Toutes les communications V2G entre EVCC et SECC sont chiffrées par TLS.</w:t>
      </w:r>
    </w:p>
    <w:p>
      <w:pPr>
        <w:pStyle w:val="Heading2"/>
        <w:spacing w:after="240" w:before="240" w:line="360" w:lineRule="auto"/>
      </w:pPr>
      <w:r>
        <w:rPr>
          <w:rFonts w:ascii="Times New Roman" w:cs="Times New Roman" w:eastAsia="Times New Roman" w:hAnsi="Times New Roman"/>
          <w:b/>
          <w:bCs/>
          <w:sz w:val="26"/>
          <w:szCs w:val="26"/>
        </w:rPr>
        <w:t xml:space="preserve">3.6 Conclusion du chapitre</w:t>
      </w:r>
    </w:p>
    <w:p>
      <w:pPr>
        <w:spacing w:after="120" w:before="0" w:line="360" w:lineRule="auto"/>
        <w:ind w:firstLine="720"/>
        <w:jc w:val="both"/>
      </w:pPr>
      <w:r>
        <w:rPr>
          <w:rFonts w:ascii="Times New Roman" w:cs="Times New Roman" w:eastAsia="Times New Roman" w:hAnsi="Times New Roman"/>
          <w:sz w:val="24"/>
          <w:szCs w:val="24"/>
        </w:rPr>
        <w:t xml:space="preserve">Ce chapitre a présenté l’architecture complète du système EV Charge Manager, en détaillant les choix de conception pour chaque composant. La structure modulaire adoptée — SECC/EVCC, fichiers de paramètres, FSM de gestion et IHM — offre la flexibilité nécessaire pour les extensions futures. Le chapitre suivant décrit la réalisation technique et les résultats obtenus.</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Chapitre 4 : Réalisation et Tests</w:t>
      </w:r>
    </w:p>
    <w:p>
      <w:pPr>
        <w:spacing w:after="120" w:before="0" w:line="360" w:lineRule="auto"/>
        <w:ind w:firstLine="720"/>
        <w:jc w:val="both"/>
      </w:pPr>
      <w:r>
        <w:rPr>
          <w:rFonts w:ascii="Times New Roman" w:cs="Times New Roman" w:eastAsia="Times New Roman" w:hAnsi="Times New Roman"/>
          <w:sz w:val="24"/>
          <w:szCs w:val="24"/>
        </w:rPr>
        <w:t xml:space="preserve">Ce chapitre décrit l’environnement de développement, les fonctionnalités réalisées, les résultats des tests et une comparaison avec les travaux similaires.</w:t>
      </w:r>
    </w:p>
    <w:p>
      <w:pPr>
        <w:pStyle w:val="Heading2"/>
        <w:spacing w:after="240" w:before="240" w:line="360" w:lineRule="auto"/>
      </w:pPr>
      <w:r>
        <w:rPr>
          <w:rFonts w:ascii="Times New Roman" w:cs="Times New Roman" w:eastAsia="Times New Roman" w:hAnsi="Times New Roman"/>
          <w:b/>
          <w:bCs/>
          <w:sz w:val="26"/>
          <w:szCs w:val="26"/>
        </w:rPr>
        <w:t xml:space="preserve">4.1 Environnement de développement</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Matériel : </w:t>
      </w:r>
      <w:r>
        <w:rPr>
          <w:rFonts w:ascii="Times New Roman" w:cs="Times New Roman" w:eastAsia="Times New Roman" w:hAnsi="Times New Roman"/>
          <w:sz w:val="24"/>
          <w:szCs w:val="24"/>
        </w:rPr>
        <w:t xml:space="preserve">deux Raspberry Pi 3 Model B (EVSEpi + EVpi).</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Système d’exploitation : </w:t>
      </w:r>
      <w:r>
        <w:rPr>
          <w:rFonts w:ascii="Times New Roman" w:cs="Times New Roman" w:eastAsia="Times New Roman" w:hAnsi="Times New Roman"/>
          <w:sz w:val="24"/>
          <w:szCs w:val="24"/>
        </w:rPr>
        <w:t xml:space="preserve">Raspbian Linux.</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Langage de programmation : </w:t>
      </w:r>
      <w:r>
        <w:rPr>
          <w:rFonts w:ascii="Times New Roman" w:cs="Times New Roman" w:eastAsia="Times New Roman" w:hAnsi="Times New Roman"/>
          <w:sz w:val="24"/>
          <w:szCs w:val="24"/>
        </w:rPr>
        <w:t xml:space="preserve">Java (FSM de gestion et communication V2G).</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Bibliothèque V2G : </w:t>
      </w:r>
      <w:r>
        <w:rPr>
          <w:rFonts w:ascii="Times New Roman" w:cs="Times New Roman" w:eastAsia="Times New Roman" w:hAnsi="Times New Roman"/>
          <w:sz w:val="24"/>
          <w:szCs w:val="24"/>
        </w:rPr>
        <w:t xml:space="preserve">RISE V2G (open-source, ISO 15118-2) [3].</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Plateforme IoT : </w:t>
      </w:r>
      <w:r>
        <w:rPr>
          <w:rFonts w:ascii="Times New Roman" w:cs="Times New Roman" w:eastAsia="Times New Roman" w:hAnsi="Times New Roman"/>
          <w:sz w:val="24"/>
          <w:szCs w:val="24"/>
        </w:rPr>
        <w:t xml:space="preserve">Emoncms [7].</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Réseau : </w:t>
      </w:r>
      <w:r>
        <w:rPr>
          <w:rFonts w:ascii="Times New Roman" w:cs="Times New Roman" w:eastAsia="Times New Roman" w:hAnsi="Times New Roman"/>
          <w:sz w:val="24"/>
          <w:szCs w:val="24"/>
        </w:rPr>
        <w:t xml:space="preserve">Wi-Fi local (remplace le PLC standard pour ce prototype).</w:t>
      </w:r>
    </w:p>
    <w:p>
      <w:pPr>
        <w:pStyle w:val="Heading2"/>
        <w:spacing w:after="240" w:before="240" w:line="360" w:lineRule="auto"/>
      </w:pPr>
      <w:r>
        <w:rPr>
          <w:rFonts w:ascii="Times New Roman" w:cs="Times New Roman" w:eastAsia="Times New Roman" w:hAnsi="Times New Roman"/>
          <w:b/>
          <w:bCs/>
          <w:sz w:val="26"/>
          <w:szCs w:val="26"/>
        </w:rPr>
        <w:t xml:space="preserve">4.2 Réalisation des fonctionnalités</w:t>
      </w:r>
    </w:p>
    <w:p>
      <w:pPr>
        <w:pStyle w:val="Heading3"/>
        <w:spacing w:after="120" w:before="240" w:line="360" w:lineRule="auto"/>
      </w:pPr>
      <w:r>
        <w:rPr>
          <w:rFonts w:ascii="Times New Roman" w:cs="Times New Roman" w:eastAsia="Times New Roman" w:hAnsi="Times New Roman"/>
          <w:b/>
          <w:bCs/>
          <w:i/>
          <w:iCs/>
          <w:sz w:val="24"/>
          <w:szCs w:val="24"/>
        </w:rPr>
        <w:t xml:space="preserve">4.2.1 Session V2G ISO 15118-2</w:t>
      </w:r>
    </w:p>
    <w:p>
      <w:pPr>
        <w:spacing w:after="120" w:before="0" w:line="360" w:lineRule="auto"/>
        <w:ind w:firstLine="720"/>
        <w:jc w:val="both"/>
      </w:pPr>
      <w:r>
        <w:rPr>
          <w:rFonts w:ascii="Times New Roman" w:cs="Times New Roman" w:eastAsia="Times New Roman" w:hAnsi="Times New Roman"/>
          <w:sz w:val="24"/>
          <w:szCs w:val="24"/>
        </w:rPr>
        <w:t xml:space="preserve">[Décrire ici les étapes clés de l’implémentation de la session V2G : initialisation, négociation des paramètres, boucle CurrentDemand, clôture de session. Insérer captures d’écran ou extraits de journaux.]</w:t>
      </w:r>
    </w:p>
    <w:p>
      <w:pPr>
        <w:pStyle w:val="Heading3"/>
        <w:spacing w:after="120" w:before="240" w:line="360" w:lineRule="auto"/>
      </w:pPr>
      <w:r>
        <w:rPr>
          <w:rFonts w:ascii="Times New Roman" w:cs="Times New Roman" w:eastAsia="Times New Roman" w:hAnsi="Times New Roman"/>
          <w:b/>
          <w:bCs/>
          <w:i/>
          <w:iCs/>
          <w:sz w:val="24"/>
          <w:szCs w:val="24"/>
        </w:rPr>
        <w:t xml:space="preserve">4.2.2 Mise à jour dynamique des paramètres</w:t>
      </w:r>
    </w:p>
    <w:p>
      <w:pPr>
        <w:spacing w:after="120" w:before="0" w:line="360" w:lineRule="auto"/>
        <w:ind w:firstLine="720"/>
        <w:jc w:val="both"/>
      </w:pPr>
      <w:r>
        <w:rPr>
          <w:rFonts w:ascii="Times New Roman" w:cs="Times New Roman" w:eastAsia="Times New Roman" w:hAnsi="Times New Roman"/>
          <w:sz w:val="24"/>
          <w:szCs w:val="24"/>
        </w:rPr>
        <w:t xml:space="preserve">[Décrire la modification apportée à RISE V2G pour supporter les mises à jour toutes les 5 secondes. Insérer extrait de code Java commenté ou capture de journal.]</w:t>
      </w:r>
    </w:p>
    <w:p>
      <w:pPr>
        <w:pStyle w:val="Heading3"/>
        <w:spacing w:after="120" w:before="240" w:line="360" w:lineRule="auto"/>
      </w:pPr>
      <w:r>
        <w:rPr>
          <w:rFonts w:ascii="Times New Roman" w:cs="Times New Roman" w:eastAsia="Times New Roman" w:hAnsi="Times New Roman"/>
          <w:b/>
          <w:bCs/>
          <w:i/>
          <w:iCs/>
          <w:sz w:val="24"/>
          <w:szCs w:val="24"/>
        </w:rPr>
        <w:t xml:space="preserve">4.2.3 Réponse à la demande PV</w:t>
      </w:r>
    </w:p>
    <w:p>
      <w:pPr>
        <w:spacing w:after="120" w:before="0" w:line="360" w:lineRule="auto"/>
        <w:ind w:firstLine="720"/>
        <w:jc w:val="both"/>
      </w:pPr>
      <w:r>
        <w:rPr>
          <w:rFonts w:ascii="Times New Roman" w:cs="Times New Roman" w:eastAsia="Times New Roman" w:hAnsi="Times New Roman"/>
          <w:sz w:val="24"/>
          <w:szCs w:val="24"/>
        </w:rPr>
        <w:t xml:space="preserve">[Décrire le fonctionnement du module de réponse à la demande. Insérer graphique montrant la corrélation entre la production PV et la puissance de charge.]</w:t>
      </w:r>
    </w:p>
    <w:p>
      <w:pPr>
        <w:pStyle w:val="Heading3"/>
        <w:spacing w:after="120" w:before="240" w:line="360" w:lineRule="auto"/>
      </w:pPr>
      <w:r>
        <w:rPr>
          <w:rFonts w:ascii="Times New Roman" w:cs="Times New Roman" w:eastAsia="Times New Roman" w:hAnsi="Times New Roman"/>
          <w:b/>
          <w:bCs/>
          <w:i/>
          <w:iCs/>
          <w:sz w:val="24"/>
          <w:szCs w:val="24"/>
        </w:rPr>
        <w:t xml:space="preserve">4.2.4 Supervision Emoncms</w:t>
      </w:r>
    </w:p>
    <w:p>
      <w:pPr>
        <w:spacing w:after="120" w:before="0" w:line="360" w:lineRule="auto"/>
        <w:ind w:firstLine="720"/>
        <w:jc w:val="both"/>
      </w:pPr>
      <w:r>
        <w:rPr>
          <w:rFonts w:ascii="Times New Roman" w:cs="Times New Roman" w:eastAsia="Times New Roman" w:hAnsi="Times New Roman"/>
          <w:sz w:val="24"/>
          <w:szCs w:val="24"/>
        </w:rPr>
        <w:t xml:space="preserve">[Insérer capture d’écran du tableau de bord Emoncms avec les courbes de courant, tension, SoC et énergie consommée.]</w:t>
      </w:r>
    </w:p>
    <w:p>
      <w:pPr>
        <w:pStyle w:val="Heading2"/>
        <w:spacing w:after="240" w:before="240" w:line="360" w:lineRule="auto"/>
      </w:pPr>
      <w:r>
        <w:rPr>
          <w:rFonts w:ascii="Times New Roman" w:cs="Times New Roman" w:eastAsia="Times New Roman" w:hAnsi="Times New Roman"/>
          <w:b/>
          <w:bCs/>
          <w:sz w:val="26"/>
          <w:szCs w:val="26"/>
        </w:rPr>
        <w:t xml:space="preserve">4.3 Résultats et validation</w:t>
      </w:r>
    </w:p>
    <w:p>
      <w:pPr>
        <w:spacing w:after="120" w:before="0" w:line="360" w:lineRule="auto"/>
        <w:ind w:firstLine="720"/>
        <w:jc w:val="both"/>
      </w:pPr>
      <w:r>
        <w:rPr>
          <w:rFonts w:ascii="Times New Roman" w:cs="Times New Roman" w:eastAsia="Times New Roman" w:hAnsi="Times New Roman"/>
          <w:sz w:val="24"/>
          <w:szCs w:val="24"/>
        </w:rPr>
        <w:t xml:space="preserve">Les tests menés avec un jeu de données PV haute résolution ont confirmé qu’un intervalle de communication de 5 secondes entre le SECC et l’EVCC produit un décalage de seulement 0,38 % entre la puissance de génération et la puissance de charge, à une efficacité réseau de 0,2 paquet/seconde [5]. Ce résultat valide à la fois la précision du mécanisme de réponse à la demande et la pertinence de l’intervalle de mise à jour choisi.</w:t>
      </w:r>
    </w:p>
    <w:p>
      <w:pPr>
        <w:spacing w:after="120" w:before="0" w:line="360" w:lineRule="auto"/>
        <w:ind w:firstLine="720"/>
        <w:jc w:val="both"/>
      </w:pPr>
      <w:r>
        <w:rPr>
          <w:rFonts w:ascii="Times New Roman" w:cs="Times New Roman" w:eastAsia="Times New Roman" w:hAnsi="Times New Roman"/>
          <w:sz w:val="24"/>
          <w:szCs w:val="24"/>
        </w:rPr>
        <w:t xml:space="preserve">Le Tableau 4.1 présente le récapitulatif des paramètres d’implémentation et des résultats obtenus.</w:t>
      </w:r>
    </w:p>
    <w:p>
      <w:pPr>
        <w:spacing w:after="60" w:before="240"/>
        <w:jc w:val="center"/>
      </w:pPr>
      <w:r>
        <w:rPr>
          <w:rFonts w:ascii="Times New Roman" w:cs="Times New Roman" w:eastAsia="Times New Roman" w:hAnsi="Times New Roman"/>
          <w:b/>
          <w:bCs/>
          <w:i/>
          <w:iCs/>
          <w:sz w:val="22"/>
          <w:szCs w:val="22"/>
        </w:rPr>
        <w:t xml:space="preserve">Tableau 4.1 – Récapitulatif des paramètres d’implémentation ISO 15118</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6270"/>
      </w:tblGrid>
      <w:tr>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sz w:val="22"/>
                <w:szCs w:val="22"/>
              </w:rPr>
              <w:t xml:space="preserve">Aspect</w:t>
            </w:r>
          </w:p>
        </w:tc>
        <w:tc>
          <w:tcPr>
            <w:tcW w:type="dxa" w:w="627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before="40"/>
              <w:jc w:val="left"/>
            </w:pPr>
            <w:r>
              <w:rPr>
                <w:rFonts w:ascii="Times New Roman" w:cs="Times New Roman" w:eastAsia="Times New Roman" w:hAnsi="Times New Roman"/>
                <w:b/>
                <w:bCs/>
                <w:sz w:val="22"/>
                <w:szCs w:val="22"/>
              </w:rPr>
              <w:t xml:space="preserve">Détail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Standard</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ISO 15118-2 (Application Layer — DC Conductive Charging)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Bibliothèque</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RISE V2G (implémentation Java open-source)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Matériel</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Raspberry Pi 3 Model B (EVSEpi + EVpi)</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Communication</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Wi-Fi (même messages ISO 15118)</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Mode de transfert</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DC (paramètre plus riche pour la gestion intelligente)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Authentification</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Certificats numériques (Plug &amp; Charge)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Fréquence de mise à jour</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Boucles de charge de 5 secondes (mises à jour CC-CV dynamiques)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Réponse à la demande</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Intégration PV ; décalage de puissance 0,38 % sur 5 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Supervision</w:t>
            </w:r>
          </w:p>
        </w:tc>
        <w:tc>
          <w:tcPr>
            <w:tcW w:type="dxa" w:w="6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before="40"/>
              <w:jc w:val="left"/>
            </w:pPr>
            <w:r>
              <w:rPr>
                <w:rFonts w:ascii="Times New Roman" w:cs="Times New Roman" w:eastAsia="Times New Roman" w:hAnsi="Times New Roman"/>
                <w:b w:val="false"/>
                <w:bCs w:val="false"/>
                <w:sz w:val="22"/>
                <w:szCs w:val="22"/>
              </w:rPr>
              <w:t xml:space="preserve">Plateforme IoT Emoncms (télémétrie 1 minute)</w:t>
            </w:r>
          </w:p>
        </w:tc>
      </w:tr>
    </w:tbl>
    <w:p>
      <w:pPr>
        <w:spacing w:after="120"/>
      </w:pPr>
    </w:p>
    <w:p>
      <w:pPr>
        <w:pStyle w:val="Heading2"/>
        <w:spacing w:after="240" w:before="240" w:line="360" w:lineRule="auto"/>
      </w:pPr>
      <w:r>
        <w:rPr>
          <w:rFonts w:ascii="Times New Roman" w:cs="Times New Roman" w:eastAsia="Times New Roman" w:hAnsi="Times New Roman"/>
          <w:b/>
          <w:bCs/>
          <w:sz w:val="26"/>
          <w:szCs w:val="26"/>
        </w:rPr>
        <w:t xml:space="preserve">4.4 Comparaison avec des travaux similaires</w:t>
      </w:r>
    </w:p>
    <w:p>
      <w:pPr>
        <w:spacing w:after="120" w:before="0" w:line="360" w:lineRule="auto"/>
        <w:ind w:firstLine="720"/>
        <w:jc w:val="both"/>
      </w:pPr>
      <w:r>
        <w:rPr>
          <w:rFonts w:ascii="Times New Roman" w:cs="Times New Roman" w:eastAsia="Times New Roman" w:hAnsi="Times New Roman"/>
          <w:sz w:val="24"/>
          <w:szCs w:val="24"/>
        </w:rPr>
        <w:t xml:space="preserve">[Insérer ici un tableau comparatif avec au moins 2 ou 3 travaux de la littérature (ex. Santos et al. [1], Mültin [6]) en comparant les approches, le matériel utilisé, les résultats obtenus et les limites de chaque travail.]</w:t>
      </w:r>
    </w:p>
    <w:p>
      <w:pPr>
        <w:pStyle w:val="Heading2"/>
        <w:spacing w:after="240" w:before="240" w:line="360" w:lineRule="auto"/>
      </w:pPr>
      <w:r>
        <w:rPr>
          <w:rFonts w:ascii="Times New Roman" w:cs="Times New Roman" w:eastAsia="Times New Roman" w:hAnsi="Times New Roman"/>
          <w:b/>
          <w:bCs/>
          <w:sz w:val="26"/>
          <w:szCs w:val="26"/>
        </w:rPr>
        <w:t xml:space="preserve">4.5 Conclusion du chapitre</w:t>
      </w:r>
    </w:p>
    <w:p>
      <w:pPr>
        <w:spacing w:after="120" w:before="0" w:line="360" w:lineRule="auto"/>
        <w:ind w:firstLine="720"/>
        <w:jc w:val="both"/>
      </w:pPr>
      <w:r>
        <w:rPr>
          <w:rFonts w:ascii="Times New Roman" w:cs="Times New Roman" w:eastAsia="Times New Roman" w:hAnsi="Times New Roman"/>
          <w:sz w:val="24"/>
          <w:szCs w:val="24"/>
        </w:rPr>
        <w:t xml:space="preserve">Ce chapitre a décrit la réalisation complète du prototype EV Charge Manager. Le système démontre avec succès une session V2G ISO 15118-2 fonctionnelle sur matériel embarqué à faible coût, avec des mises à jour de paramètres CC-CV en temps réel, une réponse à la demande photovoltaïque et une supervision IoT. Le décalage PV-charge de 0,38 % valide la réactivité de la plateforme. Ces résultats fournissent une base solide pour les améliorations et extensions décrites dans la conclusion.</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Conclusion Générale et Perspectives</w:t>
      </w:r>
    </w:p>
    <w:p>
      <w:pPr>
        <w:spacing w:after="120" w:before="0" w:line="360" w:lineRule="auto"/>
        <w:ind w:firstLine="720"/>
        <w:jc w:val="both"/>
      </w:pPr>
      <w:r>
        <w:rPr>
          <w:rFonts w:ascii="Times New Roman" w:cs="Times New Roman" w:eastAsia="Times New Roman" w:hAnsi="Times New Roman"/>
          <w:sz w:val="24"/>
          <w:szCs w:val="24"/>
        </w:rPr>
        <w:t xml:space="preserve">Ce projet avait pour objectif de concevoir et de réaliser un prototype de plateforme intelligente de gestion de stations de recharge pour véhicules électriques, capable d’opérer le protocole de communication V2G ISO 15118-2 sur du matériel embarqué accessible. Les résultats obtenus confirment l’atteinte des objectifs fixés :</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Une session V2G ISO 15118-2 complète a été établie avec succès entre deux modules Raspberry Pi via la bibliothèque RISE V2G.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 bibliothèque RISE V2G a été étendue pour supporter l’échange de paramètres dynamiques toutes les 5 secondes, permettant une adaptation en temps réel aux données de production photovoltaïque avec un décalage de puissance mesuré de seulement 0,38 %.</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Une stratégie de charge CC-CV a été implémentée et validée, reproduisant fidèlement le comportement de charge d’une batterie Li-ion.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Les données de la session sont transmises à un tableau de bord IoT Emoncms offrant une supervision en temps réel pour l’opérateur.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OCPP 1.6 a été retenu comme protocole de gestion, justifié par le contexte de déploiement algérien, la disponibilité du matériel et la maturité du protocole.</w:t>
      </w:r>
    </w:p>
    <w:p>
      <w:pPr>
        <w:spacing w:after="120" w:before="0" w:line="360" w:lineRule="auto"/>
        <w:ind w:firstLine="720"/>
        <w:jc w:val="both"/>
      </w:pPr>
      <w:r>
        <w:rPr>
          <w:rFonts w:ascii="Times New Roman" w:cs="Times New Roman" w:eastAsia="Times New Roman" w:hAnsi="Times New Roman"/>
          <w:sz w:val="24"/>
          <w:szCs w:val="24"/>
        </w:rPr>
        <w:t xml:space="preserve">Ce projet démontre que des capacités avancées de recharge intelligente — normalement associées à des équipements industriels coûteux — peuvent être prototypées et validées sur du matériel accessible grâce à des bibliothèques open-source et des standards ouverts. Cette conclusion est particulièrement pertinente pour le contexte algérien, où le prototypage abordable peut accélérer le développement d’une expertise locale en infrastructure VE.</w:t>
      </w:r>
    </w:p>
    <w:p>
      <w:pPr>
        <w:spacing w:after="120" w:before="0" w:line="360" w:lineRule="auto"/>
        <w:ind w:firstLine="720"/>
        <w:jc w:val="both"/>
      </w:pPr>
      <w:r>
        <w:rPr>
          <w:rFonts w:ascii="Times New Roman" w:cs="Times New Roman" w:eastAsia="Times New Roman" w:hAnsi="Times New Roman"/>
          <w:sz w:val="24"/>
          <w:szCs w:val="24"/>
        </w:rPr>
        <w:t xml:space="preserve">Parmi les limites du prototype actuel, on retiendra l’utilisation d’un réseau Wi-Fi en lieu et place du PLC standard d’ISO 15118, le recours à des données PV synthétiques plutôt qu’une installation photovoltaïque réelle, et l’absence de déploiement sur matériel commercial certifié OCPP 1.6.</w:t>
      </w:r>
    </w:p>
    <w:p>
      <w:pPr>
        <w:pStyle w:val="Heading2"/>
        <w:spacing w:after="240" w:before="240" w:line="360" w:lineRule="auto"/>
      </w:pPr>
      <w:r>
        <w:rPr>
          <w:rFonts w:ascii="Times New Roman" w:cs="Times New Roman" w:eastAsia="Times New Roman" w:hAnsi="Times New Roman"/>
          <w:b/>
          <w:bCs/>
          <w:sz w:val="26"/>
          <w:szCs w:val="26"/>
        </w:rPr>
        <w:t xml:space="preserve">Perspectives</w:t>
      </w:r>
    </w:p>
    <w:p>
      <w:pPr>
        <w:spacing w:after="120" w:before="0" w:line="360" w:lineRule="auto"/>
        <w:ind w:firstLine="720"/>
        <w:jc w:val="both"/>
      </w:pPr>
      <w:r>
        <w:rPr>
          <w:rFonts w:ascii="Times New Roman" w:cs="Times New Roman" w:eastAsia="Times New Roman" w:hAnsi="Times New Roman"/>
          <w:sz w:val="24"/>
          <w:szCs w:val="24"/>
        </w:rPr>
        <w:t xml:space="preserve">Plusieurs extensions sont envisagées pour prolonger le travail réalisé :</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Déploiement sur matériel certifié OCPP 1.6 : </w:t>
      </w:r>
      <w:r>
        <w:rPr>
          <w:rFonts w:ascii="Times New Roman" w:cs="Times New Roman" w:eastAsia="Times New Roman" w:hAnsi="Times New Roman"/>
          <w:sz w:val="24"/>
          <w:szCs w:val="24"/>
        </w:rPr>
        <w:t xml:space="preserve">migration du prototype vers des équipements EVSE commerciaux afin de valider l’approche dans un contexte industriel réel.</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Intégration d’un serveur CSMS : </w:t>
      </w:r>
      <w:r>
        <w:rPr>
          <w:rFonts w:ascii="Times New Roman" w:cs="Times New Roman" w:eastAsia="Times New Roman" w:hAnsi="Times New Roman"/>
          <w:sz w:val="24"/>
          <w:szCs w:val="24"/>
        </w:rPr>
        <w:t xml:space="preserve">connexion à un système de gestion open-source tel que SteVe ou CitrineOS pour la gestion complète des transactions OCPP 1.6.</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Développement de l’Admin Dashboard : </w:t>
      </w:r>
      <w:r>
        <w:rPr>
          <w:rFonts w:ascii="Times New Roman" w:cs="Times New Roman" w:eastAsia="Times New Roman" w:hAnsi="Times New Roman"/>
          <w:sz w:val="24"/>
          <w:szCs w:val="24"/>
        </w:rPr>
        <w:t xml:space="preserve">création d’une application web multi-locataires couvrant la supervision des stations, la gestion des sessions, la facturation et le ticketing.</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Migration vers OCPP 2.0 : </w:t>
      </w:r>
      <w:r>
        <w:rPr>
          <w:rFonts w:ascii="Times New Roman" w:cs="Times New Roman" w:eastAsia="Times New Roman" w:hAnsi="Times New Roman"/>
          <w:sz w:val="24"/>
          <w:szCs w:val="24"/>
        </w:rPr>
        <w:t xml:space="preserve">au fur et à mesure que l’infrastructure VE algérienne se développe et que le matériel certifié OCPP 2.0 devient accessible, la mise à niveau du protocole permettra d’exploiter les fonctionnalités avancées de charge intelligente et de V2G natif.</w:t>
      </w:r>
    </w:p>
    <w:p>
      <w:pPr>
        <w:pStyle w:val="ListParagraph"/>
        <w:numPr>
          <w:ilvl w:val="0"/>
          <w:numId w:val="2"/>
        </w:numPr>
        <w:spacing w:after="60" w:before="0" w:line="360" w:lineRule="auto"/>
      </w:pPr>
      <w:r>
        <w:rPr>
          <w:rFonts w:ascii="Times New Roman" w:cs="Times New Roman" w:eastAsia="Times New Roman" w:hAnsi="Times New Roman"/>
          <w:b/>
          <w:bCs/>
          <w:sz w:val="24"/>
          <w:szCs w:val="24"/>
        </w:rPr>
        <w:t xml:space="preserve">Intégration d’une installation PV réelle : </w:t>
      </w:r>
      <w:r>
        <w:rPr>
          <w:rFonts w:ascii="Times New Roman" w:cs="Times New Roman" w:eastAsia="Times New Roman" w:hAnsi="Times New Roman"/>
          <w:sz w:val="24"/>
          <w:szCs w:val="24"/>
        </w:rPr>
        <w:t xml:space="preserve">remplacement du jeu de données PV synthétique par une alimentation photovoltaïque en direct pour valider le mécanisme de réponse à la demande dans des conditions environnementales réelles.</w:t>
      </w:r>
    </w:p>
    <w:p>
      <w:r>
        <w:br w:type="page"/>
      </w:r>
    </w:p>
    <w:p>
      <w:pPr>
        <w:pStyle w:val="Heading1"/>
        <w:spacing w:after="240" w:before="240" w:line="360" w:lineRule="auto"/>
      </w:pPr>
      <w:r>
        <w:rPr>
          <w:rFonts w:ascii="Times New Roman" w:cs="Times New Roman" w:eastAsia="Times New Roman" w:hAnsi="Times New Roman"/>
          <w:b/>
          <w:bCs/>
          <w:sz w:val="28"/>
          <w:szCs w:val="28"/>
        </w:rPr>
        <w:t xml:space="preserve">Références Bibliographiques</w:t>
      </w:r>
    </w:p>
    <w:p>
      <w:pPr>
        <w:spacing w:after="120" w:before="0" w:line="360" w:lineRule="auto"/>
        <w:jc w:val="both"/>
      </w:pPr>
      <w:r>
        <w:rPr>
          <w:rFonts w:ascii="Times New Roman" w:cs="Times New Roman" w:eastAsia="Times New Roman" w:hAnsi="Times New Roman"/>
          <w:sz w:val="24"/>
          <w:szCs w:val="24"/>
        </w:rPr>
        <w:t xml:space="preserve">[1] Santos, J. B., Francisco, A. M. B., Cabrita, C., Monteiro, J., Pacheco, A., &amp; Cardoso, P. J. S. (2024). Development and Implementation of a Smart Charging System for Electric Vehicles Based on the ISO 15118 Standard. Energies, 17(12), 3045. https://doi.org/10.3390/en17123045</w:t>
      </w:r>
    </w:p>
    <w:p>
      <w:pPr>
        <w:spacing w:after="120" w:before="0" w:line="360" w:lineRule="auto"/>
        <w:jc w:val="both"/>
      </w:pPr>
      <w:r>
        <w:rPr>
          <w:rFonts w:ascii="Times New Roman" w:cs="Times New Roman" w:eastAsia="Times New Roman" w:hAnsi="Times New Roman"/>
          <w:sz w:val="24"/>
          <w:szCs w:val="24"/>
        </w:rPr>
        <w:t xml:space="preserve">[2] ISO 15118. (2022). Road Vehicles — Vehicle to Grid Communication Interface (Parts 1–20). International Organization for Standardization.</w:t>
      </w:r>
    </w:p>
    <w:p>
      <w:pPr>
        <w:spacing w:after="120" w:before="0" w:line="360" w:lineRule="auto"/>
        <w:jc w:val="both"/>
      </w:pPr>
      <w:r>
        <w:rPr>
          <w:rFonts w:ascii="Times New Roman" w:cs="Times New Roman" w:eastAsia="Times New Roman" w:hAnsi="Times New Roman"/>
          <w:sz w:val="24"/>
          <w:szCs w:val="24"/>
        </w:rPr>
        <w:t xml:space="preserve">[3] SwitchEV. (2023). RISE-V2G Open-Source Library. https://github.com/SwitchEV/RISE-V2G. Consulté le 1 mars 2025.</w:t>
      </w:r>
    </w:p>
    <w:p>
      <w:pPr>
        <w:spacing w:after="120" w:before="0" w:line="360" w:lineRule="auto"/>
        <w:jc w:val="both"/>
      </w:pPr>
      <w:r>
        <w:rPr>
          <w:rFonts w:ascii="Times New Roman" w:cs="Times New Roman" w:eastAsia="Times New Roman" w:hAnsi="Times New Roman"/>
          <w:sz w:val="24"/>
          <w:szCs w:val="24"/>
        </w:rPr>
        <w:t xml:space="preserve">[4] International Electrotechnical Commission. (2017). IEC 61851-1: Electric Vehicle Conductive Charging System — Part 1: General Requirements. IEC.</w:t>
      </w:r>
    </w:p>
    <w:p>
      <w:pPr>
        <w:spacing w:after="120" w:before="0" w:line="360" w:lineRule="auto"/>
        <w:jc w:val="both"/>
      </w:pPr>
      <w:r>
        <w:rPr>
          <w:rFonts w:ascii="Times New Roman" w:cs="Times New Roman" w:eastAsia="Times New Roman" w:hAnsi="Times New Roman"/>
          <w:sz w:val="24"/>
          <w:szCs w:val="24"/>
        </w:rPr>
        <w:t xml:space="preserve">[5] International Energy Agency. (2024). Global EV Outlook 2024. https://www.iea.org/reports/global-ev-outlook-2024. Consulté le 1 mars 2025.</w:t>
      </w:r>
    </w:p>
    <w:p>
      <w:pPr>
        <w:spacing w:after="120" w:before="0" w:line="360" w:lineRule="auto"/>
        <w:jc w:val="both"/>
      </w:pPr>
      <w:r>
        <w:rPr>
          <w:rFonts w:ascii="Times New Roman" w:cs="Times New Roman" w:eastAsia="Times New Roman" w:hAnsi="Times New Roman"/>
          <w:sz w:val="24"/>
          <w:szCs w:val="24"/>
        </w:rPr>
        <w:t xml:space="preserve">[6] Mültin, M. (2018). ISO 15118 as the Enabler of Vehicle-to-Grid Application. In Proceedings of the 2018 International Conference of Electrical and Electronic Technologies for Automotive (pp. 1–6). IEEE.</w:t>
      </w:r>
    </w:p>
    <w:p>
      <w:pPr>
        <w:spacing w:after="120" w:before="0" w:line="360" w:lineRule="auto"/>
        <w:jc w:val="both"/>
      </w:pPr>
      <w:r>
        <w:rPr>
          <w:rFonts w:ascii="Times New Roman" w:cs="Times New Roman" w:eastAsia="Times New Roman" w:hAnsi="Times New Roman"/>
          <w:sz w:val="24"/>
          <w:szCs w:val="24"/>
        </w:rPr>
        <w:t xml:space="preserve">[7] Emoncms. (2024). Emoncms IoT Platform. https://emoncms.org/. Consulté le 1 mars 2025.</w:t>
      </w:r>
    </w:p>
    <w:p>
      <w:pPr>
        <w:spacing w:after="120" w:before="0" w:line="360" w:lineRule="auto"/>
        <w:jc w:val="both"/>
      </w:pPr>
      <w:r>
        <w:rPr>
          <w:rFonts w:ascii="Times New Roman" w:cs="Times New Roman" w:eastAsia="Times New Roman" w:hAnsi="Times New Roman"/>
          <w:sz w:val="24"/>
          <w:szCs w:val="24"/>
        </w:rPr>
        <w:t xml:space="preserve">[8] Open Charge Alliance. (2022). Open Charge Point Protocol 2.0.1. https://www.openchargealliance.org/. Consulté le 10 mars 2025.</w:t>
      </w:r>
    </w:p>
    <w:p>
      <w:pPr>
        <w:spacing w:after="120" w:before="0" w:line="360" w:lineRule="auto"/>
        <w:jc w:val="both"/>
      </w:pPr>
      <w:r>
        <w:rPr>
          <w:rFonts w:ascii="Times New Roman" w:cs="Times New Roman" w:eastAsia="Times New Roman" w:hAnsi="Times New Roman"/>
          <w:sz w:val="24"/>
          <w:szCs w:val="24"/>
        </w:rPr>
        <w:t xml:space="preserve">[9] Open Charge Alliance. (2019). Open Charge Point Protocol 1.6, Edition 2. https://www.openchargealliance.org/uploads/files/ocpp-1.6.pdf. Consulté le 10 mars 2025.</w:t>
      </w:r>
    </w:p>
    <w:p>
      <w:pPr>
        <w:spacing w:after="120" w:before="0" w:line="360" w:lineRule="auto"/>
        <w:jc w:val="both"/>
      </w:pPr>
      <w:r>
        <w:rPr>
          <w:rFonts w:ascii="Times New Roman" w:cs="Times New Roman" w:eastAsia="Times New Roman" w:hAnsi="Times New Roman"/>
          <w:sz w:val="24"/>
          <w:szCs w:val="24"/>
        </w:rPr>
        <w:t xml:space="preserve">[10] LuxmanEnergy. (2024). OCPP 1.6 vs OCPP 2.0: A Detailed Comparison for EV Chargers. https://www.luxmanenergy.com. Consulté le 15 mars 2025.</w:t>
      </w:r>
    </w:p>
    <w:p>
      <w:pPr>
        <w:spacing w:after="120" w:before="0" w:line="360" w:lineRule="auto"/>
        <w:jc w:val="both"/>
      </w:pPr>
      <w:r>
        <w:rPr>
          <w:rFonts w:ascii="Times New Roman" w:cs="Times New Roman" w:eastAsia="Times New Roman" w:hAnsi="Times New Roman"/>
          <w:sz w:val="24"/>
          <w:szCs w:val="24"/>
        </w:rPr>
        <w:t xml:space="preserve">[11] AmpControl. (2024). OCPP 1.6 vs OCPP 2.0: A Comprehensive Comparison. https://www.ampcontrol.io/post/ocpp-1-6-vs-ocpp-2-0-a-comprehensive-comparison. Consulté le 15 mars 2025.</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lineRule="auto"/>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40" w:before="240" w:line="360" w:lineRule="auto"/>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line="360" w:lineRule="auto"/>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2026-05-02T18:46:23.010Z</dcterms:created>
  <dcterms:modified xsi:type="dcterms:W3CDTF">2026-05-02T18:46:23.028Z</dcterms:modified>
</cp:coreProperties>
</file>

<file path=docProps/custom.xml><?xml version="1.0" encoding="utf-8"?>
<Properties xmlns="http://schemas.openxmlformats.org/officeDocument/2006/custom-properties" xmlns:vt="http://schemas.openxmlformats.org/officeDocument/2006/docPropsVTypes"/>
</file>